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35C" w:rsidRDefault="00F2035C" w:rsidP="00F2035C">
      <w:pPr>
        <w:pStyle w:val="Titre1"/>
        <w:spacing w:line="360" w:lineRule="auto"/>
        <w:jc w:val="center"/>
      </w:pPr>
      <w:r>
        <w:t>Vers un écosystème entrepreneurial durable en Tunisie : La théorie positive de Santos comme levier de transformation</w:t>
      </w:r>
    </w:p>
    <w:p w:rsidR="00F2035C" w:rsidRDefault="00F2035C" w:rsidP="00F2035C"/>
    <w:p w:rsidR="00F2035C" w:rsidRDefault="00F27F8A" w:rsidP="00F2035C">
      <w:r>
        <w:t>Ayadi</w:t>
      </w:r>
      <w:r w:rsidR="00A309F1">
        <w:t xml:space="preserve"> </w:t>
      </w:r>
      <w:r>
        <w:t>Achraf : doctorant chercheur à la faculté de sciences économiques et gestion de sfax</w:t>
      </w:r>
    </w:p>
    <w:p w:rsidR="00F27F8A" w:rsidRDefault="00F27F8A" w:rsidP="00A309F1">
      <w:r>
        <w:rPr>
          <w:spacing w:val="-3"/>
        </w:rPr>
        <w:t xml:space="preserve">Dr. </w:t>
      </w:r>
      <w:r w:rsidR="00A309F1">
        <w:rPr>
          <w:spacing w:val="-4"/>
        </w:rPr>
        <w:t>Raoudha Kammoun :</w:t>
      </w:r>
      <w:r>
        <w:rPr>
          <w:spacing w:val="-4"/>
        </w:rPr>
        <w:t xml:space="preserve"> </w:t>
      </w:r>
      <w:r w:rsidR="00A309F1">
        <w:rPr>
          <w:spacing w:val="-3"/>
        </w:rPr>
        <w:t>Professeur</w:t>
      </w:r>
      <w:r>
        <w:rPr>
          <w:spacing w:val="-3"/>
        </w:rPr>
        <w:t xml:space="preserve"> </w:t>
      </w:r>
      <w:r>
        <w:t xml:space="preserve">à </w:t>
      </w:r>
      <w:bookmarkStart w:id="0" w:name="_GoBack"/>
      <w:bookmarkEnd w:id="0"/>
      <w:r>
        <w:t>la faculté de sciences économiques et gestion de sfax</w:t>
      </w:r>
    </w:p>
    <w:p w:rsidR="00F27F8A" w:rsidRDefault="00F27F8A" w:rsidP="00F27F8A"/>
    <w:p w:rsidR="00697478" w:rsidRPr="005F6450" w:rsidRDefault="00697478" w:rsidP="00F27F8A">
      <w:pPr>
        <w:pStyle w:val="Titre1"/>
        <w:rPr>
          <w:rFonts w:asciiTheme="majorBidi" w:hAnsiTheme="majorBidi"/>
          <w:sz w:val="24"/>
          <w:szCs w:val="24"/>
        </w:rPr>
      </w:pPr>
      <w:r>
        <w:t>Résumé</w:t>
      </w:r>
    </w:p>
    <w:p w:rsidR="006315D3" w:rsidRPr="00981E2E" w:rsidRDefault="006315D3" w:rsidP="00981E2E">
      <w:pPr>
        <w:spacing w:line="360" w:lineRule="auto"/>
        <w:jc w:val="both"/>
        <w:rPr>
          <w:rFonts w:asciiTheme="majorBidi" w:hAnsiTheme="majorBidi" w:cstheme="majorBidi"/>
          <w:sz w:val="24"/>
          <w:szCs w:val="24"/>
        </w:rPr>
      </w:pPr>
      <w:r w:rsidRPr="00981E2E">
        <w:rPr>
          <w:rFonts w:asciiTheme="majorBidi" w:hAnsiTheme="majorBidi" w:cstheme="majorBidi"/>
          <w:sz w:val="24"/>
          <w:szCs w:val="24"/>
        </w:rPr>
        <w:t xml:space="preserve">L'étude propose une approche intégrative innovante articulant la théorie positive de l'entrepreneuriat social de Santos (2012) </w:t>
      </w:r>
      <w:r w:rsidR="00A309F1" w:rsidRPr="00981E2E">
        <w:rPr>
          <w:rFonts w:asciiTheme="majorBidi" w:hAnsiTheme="majorBidi" w:cstheme="majorBidi"/>
          <w:sz w:val="24"/>
          <w:szCs w:val="24"/>
        </w:rPr>
        <w:t>dont</w:t>
      </w:r>
      <w:r w:rsidR="004A44DE" w:rsidRPr="00981E2E">
        <w:rPr>
          <w:rFonts w:asciiTheme="majorBidi" w:hAnsiTheme="majorBidi" w:cstheme="majorBidi"/>
          <w:sz w:val="24"/>
          <w:szCs w:val="24"/>
        </w:rPr>
        <w:t xml:space="preserve"> le but de convertir l’écosystème entrepreneurial tunisien</w:t>
      </w:r>
      <w:r w:rsidRPr="00981E2E">
        <w:rPr>
          <w:rFonts w:asciiTheme="majorBidi" w:hAnsiTheme="majorBidi" w:cstheme="majorBidi"/>
          <w:sz w:val="24"/>
          <w:szCs w:val="24"/>
        </w:rPr>
        <w:t xml:space="preserve"> vers l'entrepreneuriat durable</w:t>
      </w:r>
      <w:r w:rsidR="00A309F1" w:rsidRPr="00981E2E">
        <w:rPr>
          <w:rFonts w:asciiTheme="majorBidi" w:hAnsiTheme="majorBidi" w:cstheme="majorBidi"/>
          <w:sz w:val="24"/>
          <w:szCs w:val="24"/>
        </w:rPr>
        <w:t xml:space="preserve">. </w:t>
      </w:r>
      <w:r w:rsidR="00981E2E" w:rsidRPr="00981E2E">
        <w:rPr>
          <w:rFonts w:asciiTheme="majorBidi" w:hAnsiTheme="majorBidi" w:cstheme="majorBidi"/>
          <w:sz w:val="24"/>
          <w:szCs w:val="24"/>
        </w:rPr>
        <w:t xml:space="preserve">Par ailleurs, nous procéderons à l'examen de </w:t>
      </w:r>
      <w:r w:rsidRPr="00981E2E">
        <w:rPr>
          <w:rFonts w:asciiTheme="majorBidi" w:hAnsiTheme="majorBidi" w:cstheme="majorBidi"/>
          <w:sz w:val="24"/>
          <w:szCs w:val="24"/>
        </w:rPr>
        <w:t xml:space="preserve">la contribution de l'écosystème tunisien à la réalisation des Objectifs </w:t>
      </w:r>
      <w:r w:rsidR="00981E2E" w:rsidRPr="00981E2E">
        <w:rPr>
          <w:rFonts w:asciiTheme="majorBidi" w:hAnsiTheme="majorBidi" w:cstheme="majorBidi"/>
          <w:sz w:val="24"/>
          <w:szCs w:val="24"/>
        </w:rPr>
        <w:t xml:space="preserve">de Développement Durable (ODD) </w:t>
      </w:r>
      <w:r w:rsidRPr="00981E2E">
        <w:rPr>
          <w:rFonts w:asciiTheme="majorBidi" w:hAnsiTheme="majorBidi" w:cstheme="majorBidi"/>
          <w:sz w:val="24"/>
          <w:szCs w:val="24"/>
        </w:rPr>
        <w:t>en établissant un état des lieux critique des indicateurs de développement durable.</w:t>
      </w:r>
    </w:p>
    <w:p w:rsidR="00AA6219" w:rsidRPr="00981E2E" w:rsidRDefault="00AA6219" w:rsidP="00981E2E">
      <w:pPr>
        <w:spacing w:line="360" w:lineRule="auto"/>
        <w:jc w:val="both"/>
        <w:rPr>
          <w:rFonts w:asciiTheme="majorBidi" w:hAnsiTheme="majorBidi" w:cstheme="majorBidi"/>
          <w:sz w:val="24"/>
          <w:szCs w:val="24"/>
        </w:rPr>
      </w:pPr>
      <w:r w:rsidRPr="00981E2E">
        <w:rPr>
          <w:rFonts w:asciiTheme="majorBidi" w:hAnsiTheme="majorBidi" w:cstheme="majorBidi"/>
          <w:sz w:val="24"/>
          <w:szCs w:val="24"/>
        </w:rPr>
        <w:t>Cette démarche s'affirme comme un instrument stratégique essentiel dans le contexte tunisien, permettant à la fois d'analyser en profondeur l'écosystème entrepreneurial social, d'établir un cadre théorique innovant pour la transformation socio-économique, d'identifier les leviers de transition durable, et de développer une stratégie nationale cohérente pour l'atteinte des Objectifs de Développement Durable.</w:t>
      </w:r>
    </w:p>
    <w:p w:rsidR="006315D3" w:rsidRPr="00981E2E" w:rsidRDefault="006315D3" w:rsidP="00981E2E">
      <w:pPr>
        <w:spacing w:line="360" w:lineRule="auto"/>
        <w:jc w:val="both"/>
        <w:rPr>
          <w:rFonts w:asciiTheme="majorBidi" w:hAnsiTheme="majorBidi" w:cstheme="majorBidi"/>
          <w:sz w:val="24"/>
          <w:szCs w:val="24"/>
        </w:rPr>
      </w:pPr>
      <w:r w:rsidRPr="00981E2E">
        <w:rPr>
          <w:rFonts w:asciiTheme="majorBidi" w:hAnsiTheme="majorBidi" w:cstheme="majorBidi"/>
          <w:sz w:val="24"/>
          <w:szCs w:val="24"/>
        </w:rPr>
        <w:t>L'originalité réside dans l'utilisation de la théorie positive comme prisme d'analyse permettant de repenser les modèles traditionnels de développement et d'innovation sociale, avec pour objectif ultime l'optimisation des politiques de soutien à l'entrepreneuriat durable et socialement responsable.</w:t>
      </w:r>
    </w:p>
    <w:p w:rsidR="00F2035C" w:rsidRDefault="00F2035C" w:rsidP="006315D3">
      <w:pPr>
        <w:spacing w:before="100" w:beforeAutospacing="1" w:after="100" w:afterAutospacing="1" w:line="360" w:lineRule="auto"/>
        <w:jc w:val="both"/>
        <w:rPr>
          <w:rFonts w:asciiTheme="majorBidi" w:eastAsia="Times New Roman" w:hAnsiTheme="majorBidi" w:cstheme="majorBidi"/>
          <w:sz w:val="24"/>
          <w:szCs w:val="24"/>
          <w:lang w:eastAsia="fr-FR"/>
        </w:rPr>
      </w:pPr>
    </w:p>
    <w:p w:rsidR="00F2035C" w:rsidRDefault="00F2035C" w:rsidP="006315D3">
      <w:pPr>
        <w:spacing w:before="100" w:beforeAutospacing="1" w:after="100" w:afterAutospacing="1" w:line="360" w:lineRule="auto"/>
        <w:jc w:val="both"/>
        <w:rPr>
          <w:rFonts w:asciiTheme="majorBidi" w:eastAsia="Times New Roman" w:hAnsiTheme="majorBidi" w:cstheme="majorBidi"/>
          <w:sz w:val="24"/>
          <w:szCs w:val="24"/>
          <w:lang w:eastAsia="fr-FR"/>
        </w:rPr>
      </w:pPr>
    </w:p>
    <w:p w:rsidR="00F2035C" w:rsidRDefault="00F2035C" w:rsidP="006315D3">
      <w:pPr>
        <w:spacing w:before="100" w:beforeAutospacing="1" w:after="100" w:afterAutospacing="1" w:line="360" w:lineRule="auto"/>
        <w:jc w:val="both"/>
        <w:rPr>
          <w:rFonts w:asciiTheme="majorBidi" w:eastAsia="Times New Roman" w:hAnsiTheme="majorBidi" w:cstheme="majorBidi"/>
          <w:sz w:val="24"/>
          <w:szCs w:val="24"/>
          <w:lang w:eastAsia="fr-FR"/>
        </w:rPr>
      </w:pPr>
    </w:p>
    <w:p w:rsidR="00F2035C" w:rsidRDefault="00F2035C" w:rsidP="006315D3">
      <w:pPr>
        <w:spacing w:before="100" w:beforeAutospacing="1" w:after="100" w:afterAutospacing="1" w:line="360" w:lineRule="auto"/>
        <w:jc w:val="both"/>
        <w:rPr>
          <w:rFonts w:asciiTheme="majorBidi" w:eastAsia="Times New Roman" w:hAnsiTheme="majorBidi" w:cstheme="majorBidi"/>
          <w:sz w:val="24"/>
          <w:szCs w:val="24"/>
          <w:lang w:eastAsia="fr-FR"/>
        </w:rPr>
      </w:pPr>
    </w:p>
    <w:p w:rsidR="00F2035C" w:rsidRDefault="00F2035C" w:rsidP="006315D3">
      <w:pPr>
        <w:spacing w:before="100" w:beforeAutospacing="1" w:after="100" w:afterAutospacing="1" w:line="360" w:lineRule="auto"/>
        <w:jc w:val="both"/>
        <w:rPr>
          <w:rFonts w:asciiTheme="majorBidi" w:eastAsia="Times New Roman" w:hAnsiTheme="majorBidi" w:cstheme="majorBidi"/>
          <w:sz w:val="24"/>
          <w:szCs w:val="24"/>
          <w:lang w:eastAsia="fr-FR"/>
        </w:rPr>
      </w:pPr>
    </w:p>
    <w:p w:rsidR="00F2035C" w:rsidRPr="006315D3" w:rsidRDefault="00F2035C" w:rsidP="006315D3">
      <w:pPr>
        <w:spacing w:before="100" w:beforeAutospacing="1" w:after="100" w:afterAutospacing="1" w:line="360" w:lineRule="auto"/>
        <w:jc w:val="both"/>
        <w:rPr>
          <w:rFonts w:asciiTheme="majorBidi" w:eastAsia="Times New Roman" w:hAnsiTheme="majorBidi" w:cstheme="majorBidi"/>
          <w:sz w:val="24"/>
          <w:szCs w:val="24"/>
          <w:lang w:eastAsia="fr-FR"/>
        </w:rPr>
      </w:pPr>
    </w:p>
    <w:p w:rsidR="002A7562" w:rsidRPr="005F6450" w:rsidRDefault="002A7562" w:rsidP="005F6450">
      <w:pPr>
        <w:pStyle w:val="Titre1"/>
        <w:spacing w:line="360" w:lineRule="auto"/>
        <w:jc w:val="both"/>
        <w:rPr>
          <w:rFonts w:asciiTheme="majorBidi" w:hAnsiTheme="majorBidi"/>
          <w:sz w:val="24"/>
          <w:szCs w:val="24"/>
        </w:rPr>
      </w:pPr>
      <w:r w:rsidRPr="005F6450">
        <w:rPr>
          <w:rFonts w:asciiTheme="majorBidi" w:hAnsiTheme="majorBidi"/>
          <w:sz w:val="24"/>
          <w:szCs w:val="24"/>
        </w:rPr>
        <w:t>Introduction</w:t>
      </w:r>
    </w:p>
    <w:p w:rsidR="00736E55" w:rsidRPr="005F6450" w:rsidRDefault="00736E55"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La Tunisie, pays nord-africain en transition économique et sociale, fait face à des défis complexes dans sa quête de développement durable. Depuis la révolution de 2011, le pays a connu des changements politiques significatifs, mais continue de lutter contre des problèmes socio-économiques persistants tels que le chômage élevé, particulièrement chez les jeunes, les disparités régionales, et la nécessité de diversifier </w:t>
      </w:r>
      <w:r w:rsidR="008229B5" w:rsidRPr="005F6450">
        <w:rPr>
          <w:rFonts w:asciiTheme="majorBidi" w:hAnsiTheme="majorBidi" w:cstheme="majorBidi"/>
        </w:rPr>
        <w:t>son économie (Ayadi et al., 2017</w:t>
      </w:r>
      <w:r w:rsidRPr="005F6450">
        <w:rPr>
          <w:rFonts w:asciiTheme="majorBidi" w:hAnsiTheme="majorBidi" w:cstheme="majorBidi"/>
        </w:rPr>
        <w:t>). Dans ce contexte, l'entrepreneuriat émerge comme un levier potentiel de transformation, capable de stimuler l'innovation, de créer des emplois et de contribuer à une croissance économique inclusive (Naudé, 2011).</w:t>
      </w:r>
    </w:p>
    <w:p w:rsidR="00C42383" w:rsidRPr="005F6450" w:rsidRDefault="00C42383"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Face aux grands défis de notre époque, les Nations Unies ont lancé un véritable cri du cœur en 2015. En effet, au sens de l’assemblé général des nations unies 2015 </w:t>
      </w:r>
      <w:r w:rsidRPr="005F6450">
        <w:rPr>
          <w:rStyle w:val="Appelnotedebasdep"/>
          <w:rFonts w:asciiTheme="majorBidi" w:hAnsiTheme="majorBidi" w:cstheme="majorBidi"/>
        </w:rPr>
        <w:footnoteReference w:id="2"/>
      </w:r>
      <w:r w:rsidR="00DC2B1B" w:rsidRPr="005F6450">
        <w:rPr>
          <w:rFonts w:asciiTheme="majorBidi" w:hAnsiTheme="majorBidi" w:cstheme="majorBidi"/>
        </w:rPr>
        <w:t xml:space="preserve">, </w:t>
      </w:r>
      <w:r w:rsidRPr="005F6450">
        <w:rPr>
          <w:rFonts w:asciiTheme="majorBidi" w:hAnsiTheme="majorBidi" w:cstheme="majorBidi"/>
        </w:rPr>
        <w:t>l'humanité devrait prendre des "mesures audacieuses et transformatrices qui sont urgemment nécessaires pour orienter le monde vers une voie durable et résiliente".</w:t>
      </w:r>
    </w:p>
    <w:p w:rsidR="00736E55" w:rsidRPr="00C503FF" w:rsidRDefault="00C42383" w:rsidP="005F6450">
      <w:pPr>
        <w:pStyle w:val="whitespace-pre-wrap"/>
        <w:spacing w:line="360" w:lineRule="auto"/>
        <w:jc w:val="both"/>
        <w:rPr>
          <w:rFonts w:asciiTheme="majorBidi" w:hAnsiTheme="majorBidi" w:cstheme="majorBidi"/>
        </w:rPr>
      </w:pPr>
      <w:r w:rsidRPr="005F6450">
        <w:rPr>
          <w:rFonts w:asciiTheme="majorBidi" w:hAnsiTheme="majorBidi" w:cstheme="majorBidi"/>
        </w:rPr>
        <w:t>Par conséquence</w:t>
      </w:r>
      <w:r w:rsidR="00736E55" w:rsidRPr="005F6450">
        <w:rPr>
          <w:rFonts w:asciiTheme="majorBidi" w:hAnsiTheme="majorBidi" w:cstheme="majorBidi"/>
        </w:rPr>
        <w:t>, les Objectifs de Développement Durable (</w:t>
      </w:r>
      <w:r w:rsidR="00F077D4" w:rsidRPr="005F6450">
        <w:rPr>
          <w:rFonts w:asciiTheme="majorBidi" w:hAnsiTheme="majorBidi" w:cstheme="majorBidi"/>
        </w:rPr>
        <w:t>désormais « </w:t>
      </w:r>
      <w:r w:rsidR="00736E55" w:rsidRPr="005F6450">
        <w:rPr>
          <w:rFonts w:asciiTheme="majorBidi" w:hAnsiTheme="majorBidi" w:cstheme="majorBidi"/>
        </w:rPr>
        <w:t>ODD</w:t>
      </w:r>
      <w:r w:rsidR="00F077D4" w:rsidRPr="005F6450">
        <w:rPr>
          <w:rFonts w:asciiTheme="majorBidi" w:hAnsiTheme="majorBidi" w:cstheme="majorBidi"/>
        </w:rPr>
        <w:t> »</w:t>
      </w:r>
      <w:r w:rsidR="00736E55" w:rsidRPr="005F6450">
        <w:rPr>
          <w:rFonts w:asciiTheme="majorBidi" w:hAnsiTheme="majorBidi" w:cstheme="majorBidi"/>
        </w:rPr>
        <w:t xml:space="preserve">) des Nations Unies offrent un cadre global pour aborder les défis sociaux, économiques et environnementaux auxquels la Tunisie est confrontée (United Nations, 2015). Pour la Tunisie, l'alignement des efforts de développement sur ces objectifs est crucial pour assurer un avenir </w:t>
      </w:r>
      <w:r w:rsidR="00736E55" w:rsidRPr="00C503FF">
        <w:rPr>
          <w:rFonts w:asciiTheme="majorBidi" w:hAnsiTheme="majorBidi" w:cstheme="majorBidi"/>
        </w:rPr>
        <w:t xml:space="preserve">prospère et </w:t>
      </w:r>
      <w:r w:rsidR="00F55413" w:rsidRPr="00C503FF">
        <w:rPr>
          <w:rFonts w:asciiTheme="majorBidi" w:hAnsiTheme="majorBidi" w:cstheme="majorBidi"/>
        </w:rPr>
        <w:t>durable</w:t>
      </w:r>
      <w:r w:rsidR="00784292" w:rsidRPr="00C503FF">
        <w:rPr>
          <w:rStyle w:val="Appelnotedebasdep"/>
          <w:rFonts w:asciiTheme="majorBidi" w:hAnsiTheme="majorBidi" w:cstheme="majorBidi"/>
        </w:rPr>
        <w:footnoteReference w:id="3"/>
      </w:r>
      <w:r w:rsidR="00784292" w:rsidRPr="00C503FF">
        <w:rPr>
          <w:rFonts w:asciiTheme="majorBidi" w:hAnsiTheme="majorBidi" w:cstheme="majorBidi"/>
        </w:rPr>
        <w:t>.</w:t>
      </w:r>
    </w:p>
    <w:p w:rsidR="00630C5C" w:rsidRPr="00C503FF" w:rsidRDefault="00630C5C" w:rsidP="00C503FF">
      <w:pPr>
        <w:pStyle w:val="whitespace-pre-wrap"/>
        <w:spacing w:line="360" w:lineRule="auto"/>
        <w:jc w:val="both"/>
        <w:rPr>
          <w:rFonts w:asciiTheme="majorBidi" w:hAnsiTheme="majorBidi" w:cstheme="majorBidi"/>
        </w:rPr>
      </w:pPr>
      <w:r w:rsidRPr="00C503FF">
        <w:rPr>
          <w:rFonts w:asciiTheme="majorBidi" w:hAnsiTheme="majorBidi" w:cstheme="majorBidi"/>
        </w:rPr>
        <w:t xml:space="preserve">Toutefois, le rôle des entrepreneurs est considéré crucial </w:t>
      </w:r>
      <w:r w:rsidR="00DC2B1B" w:rsidRPr="00C503FF">
        <w:rPr>
          <w:rFonts w:asciiTheme="majorBidi" w:hAnsiTheme="majorBidi" w:cstheme="majorBidi"/>
        </w:rPr>
        <w:t>en tant</w:t>
      </w:r>
      <w:r w:rsidRPr="00C503FF">
        <w:rPr>
          <w:rFonts w:asciiTheme="majorBidi" w:hAnsiTheme="majorBidi" w:cstheme="majorBidi"/>
        </w:rPr>
        <w:t xml:space="preserve"> que catalyseur de la réalisation des </w:t>
      </w:r>
      <w:r w:rsidR="00C503FF" w:rsidRPr="00C503FF">
        <w:rPr>
          <w:rFonts w:asciiTheme="majorBidi" w:hAnsiTheme="majorBidi" w:cstheme="majorBidi"/>
        </w:rPr>
        <w:t>ODD</w:t>
      </w:r>
      <w:r w:rsidRPr="00C503FF">
        <w:rPr>
          <w:rFonts w:asciiTheme="majorBidi" w:hAnsiTheme="majorBidi" w:cstheme="majorBidi"/>
        </w:rPr>
        <w:t xml:space="preserve"> </w:t>
      </w:r>
      <w:r w:rsidRPr="00C503FF">
        <w:rPr>
          <w:rFonts w:asciiTheme="majorBidi" w:hAnsiTheme="majorBidi" w:cstheme="majorBidi"/>
          <w:shd w:val="clear" w:color="auto" w:fill="FFFFFF"/>
        </w:rPr>
        <w:t>Omri, A. (2018)</w:t>
      </w:r>
      <w:r w:rsidR="004B46F4" w:rsidRPr="00C503FF">
        <w:rPr>
          <w:rFonts w:asciiTheme="majorBidi" w:hAnsiTheme="majorBidi" w:cstheme="majorBidi"/>
          <w:shd w:val="clear" w:color="auto" w:fill="FFFFFF"/>
        </w:rPr>
        <w:t xml:space="preserve">. C’est ainsi, que plusieurs auteurs </w:t>
      </w:r>
      <w:r w:rsidR="00DC2B1B" w:rsidRPr="00C503FF">
        <w:rPr>
          <w:rFonts w:asciiTheme="majorBidi" w:hAnsiTheme="majorBidi" w:cstheme="majorBidi"/>
          <w:shd w:val="clear" w:color="auto" w:fill="FFFFFF"/>
        </w:rPr>
        <w:t>ont cherché</w:t>
      </w:r>
      <w:r w:rsidR="004B46F4" w:rsidRPr="00C503FF">
        <w:rPr>
          <w:rFonts w:asciiTheme="majorBidi" w:hAnsiTheme="majorBidi" w:cstheme="majorBidi"/>
          <w:shd w:val="clear" w:color="auto" w:fill="FFFFFF"/>
        </w:rPr>
        <w:t xml:space="preserve"> à examiner l’effet significatif de l’entrepreneuriat à résoudre </w:t>
      </w:r>
      <w:r w:rsidR="00990615" w:rsidRPr="00C503FF">
        <w:rPr>
          <w:rFonts w:asciiTheme="majorBidi" w:hAnsiTheme="majorBidi" w:cstheme="majorBidi"/>
          <w:shd w:val="clear" w:color="auto" w:fill="FFFFFF"/>
        </w:rPr>
        <w:t>les problèmes mondiaux</w:t>
      </w:r>
      <w:r w:rsidR="004B46F4" w:rsidRPr="00C503FF">
        <w:rPr>
          <w:rFonts w:asciiTheme="majorBidi" w:hAnsiTheme="majorBidi" w:cstheme="majorBidi"/>
          <w:shd w:val="clear" w:color="auto" w:fill="FFFFFF"/>
        </w:rPr>
        <w:t xml:space="preserve"> que ce soit économiques, sociales ou encore environnementales </w:t>
      </w:r>
      <w:r w:rsidR="00990615" w:rsidRPr="00C503FF">
        <w:rPr>
          <w:rFonts w:asciiTheme="majorBidi" w:hAnsiTheme="majorBidi" w:cstheme="majorBidi"/>
          <w:shd w:val="clear" w:color="auto" w:fill="FFFFFF"/>
        </w:rPr>
        <w:t>(Schumpeter</w:t>
      </w:r>
      <w:r w:rsidR="004B46F4" w:rsidRPr="00C503FF">
        <w:rPr>
          <w:rFonts w:asciiTheme="majorBidi" w:hAnsiTheme="majorBidi" w:cstheme="majorBidi"/>
        </w:rPr>
        <w:t xml:space="preserve">, 1934, Drucker, 1985; Matos et Hall, 2007; York et Venkataraman, </w:t>
      </w:r>
      <w:r w:rsidR="00990615" w:rsidRPr="00C503FF">
        <w:rPr>
          <w:rFonts w:asciiTheme="majorBidi" w:hAnsiTheme="majorBidi" w:cstheme="majorBidi"/>
        </w:rPr>
        <w:t>2010;</w:t>
      </w:r>
      <w:r w:rsidR="004B46F4" w:rsidRPr="00C503FF">
        <w:rPr>
          <w:rFonts w:asciiTheme="majorBidi" w:hAnsiTheme="majorBidi" w:cstheme="majorBidi"/>
        </w:rPr>
        <w:t>Sheperd and Patzel (2011)</w:t>
      </w:r>
      <w:r w:rsidR="00C42383" w:rsidRPr="00C503FF">
        <w:rPr>
          <w:rFonts w:asciiTheme="majorBidi" w:hAnsiTheme="majorBidi" w:cstheme="majorBidi"/>
        </w:rPr>
        <w:t>, Rahdari et al., 2016; Ben Youssef et al., 2018; Horne et al., 2020; Omri et Afi, 2020</w:t>
      </w:r>
      <w:r w:rsidR="00C503FF">
        <w:rPr>
          <w:rFonts w:asciiTheme="majorBidi" w:hAnsiTheme="majorBidi" w:cstheme="majorBidi"/>
        </w:rPr>
        <w:t>).</w:t>
      </w:r>
    </w:p>
    <w:p w:rsidR="00E15A0F" w:rsidRPr="005F6450" w:rsidRDefault="00E15A0F" w:rsidP="005F6450">
      <w:pPr>
        <w:pStyle w:val="whitespace-pre-wrap"/>
        <w:spacing w:line="360" w:lineRule="auto"/>
        <w:jc w:val="both"/>
        <w:rPr>
          <w:rFonts w:asciiTheme="majorBidi" w:hAnsiTheme="majorBidi" w:cstheme="majorBidi"/>
        </w:rPr>
      </w:pPr>
    </w:p>
    <w:p w:rsidR="00C42383" w:rsidRPr="005F6450" w:rsidRDefault="00C42383" w:rsidP="005F6450">
      <w:pPr>
        <w:pStyle w:val="whitespace-pre-wrap"/>
        <w:spacing w:line="360" w:lineRule="auto"/>
        <w:jc w:val="both"/>
        <w:rPr>
          <w:rFonts w:asciiTheme="majorBidi" w:hAnsiTheme="majorBidi" w:cstheme="majorBidi"/>
        </w:rPr>
      </w:pPr>
      <w:r w:rsidRPr="005F6450">
        <w:rPr>
          <w:rFonts w:asciiTheme="majorBidi" w:hAnsiTheme="majorBidi" w:cstheme="majorBidi"/>
        </w:rPr>
        <w:lastRenderedPageBreak/>
        <w:t xml:space="preserve">En outre, les entrepreneurs peuvent développer des solutions novatrices aux problèmes sociaux et environnementaux, créer des opportunités économiques, et contribuer à une croissance inclusive (Rahdari et al., 2016). </w:t>
      </w:r>
    </w:p>
    <w:p w:rsidR="00736E55" w:rsidRPr="005F6450" w:rsidRDefault="00736E55"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En Tunisie, où le secteur privé est appelé à jouer un rôle croissant dans le développement économique, l'entrepreneuriat pourrait être un </w:t>
      </w:r>
      <w:r w:rsidR="00C42383" w:rsidRPr="005F6450">
        <w:rPr>
          <w:rFonts w:asciiTheme="majorBidi" w:hAnsiTheme="majorBidi" w:cstheme="majorBidi"/>
        </w:rPr>
        <w:t xml:space="preserve">moteur de changement et </w:t>
      </w:r>
      <w:r w:rsidR="00DC2B1B" w:rsidRPr="005F6450">
        <w:rPr>
          <w:rFonts w:asciiTheme="majorBidi" w:hAnsiTheme="majorBidi" w:cstheme="majorBidi"/>
        </w:rPr>
        <w:t>d’innovation pour</w:t>
      </w:r>
      <w:r w:rsidRPr="005F6450">
        <w:rPr>
          <w:rFonts w:asciiTheme="majorBidi" w:hAnsiTheme="majorBidi" w:cstheme="majorBidi"/>
        </w:rPr>
        <w:t xml:space="preserve"> atteindre les ODD (Gherib et Berger-Douce, 2012).</w:t>
      </w:r>
    </w:p>
    <w:p w:rsidR="00736E55" w:rsidRPr="005F6450" w:rsidRDefault="00736E55" w:rsidP="005F6450">
      <w:pPr>
        <w:pStyle w:val="whitespace-pre-wrap"/>
        <w:spacing w:line="360" w:lineRule="auto"/>
        <w:jc w:val="both"/>
        <w:rPr>
          <w:rFonts w:asciiTheme="majorBidi" w:hAnsiTheme="majorBidi" w:cstheme="majorBidi"/>
        </w:rPr>
      </w:pPr>
      <w:r w:rsidRPr="005F6450">
        <w:rPr>
          <w:rFonts w:asciiTheme="majorBidi" w:hAnsiTheme="majorBidi" w:cstheme="majorBidi"/>
        </w:rPr>
        <w:t>Cependant, Les théories existantes sur l'entrepreneuriat (Shane et Venkataraman, 2000), le développement durable (Elkington, 1997) et le développement économique (Acs et al., 2008) offrent des perspectives variées, mais souvent cloisonnées. Une approche intégrative est donc nécessaire pour comprendre pleinement comment l'entrepreneuriat peut contribuer efficacement à la réalisation des ODD en Tunisie (Shepherd et Patzelt, 2011).</w:t>
      </w:r>
    </w:p>
    <w:p w:rsidR="003B39EB" w:rsidRPr="00783B46" w:rsidRDefault="003B39EB" w:rsidP="00592DAA">
      <w:pPr>
        <w:spacing w:line="360" w:lineRule="auto"/>
        <w:jc w:val="both"/>
        <w:rPr>
          <w:rFonts w:asciiTheme="majorBidi" w:hAnsiTheme="majorBidi" w:cstheme="majorBidi"/>
          <w:sz w:val="24"/>
          <w:szCs w:val="24"/>
        </w:rPr>
      </w:pPr>
      <w:r w:rsidRPr="00783B46">
        <w:rPr>
          <w:rFonts w:asciiTheme="majorBidi" w:hAnsiTheme="majorBidi" w:cstheme="majorBidi"/>
          <w:sz w:val="24"/>
          <w:szCs w:val="24"/>
        </w:rPr>
        <w:t xml:space="preserve">Cet </w:t>
      </w:r>
      <w:r w:rsidR="00DC2B1B" w:rsidRPr="00783B46">
        <w:rPr>
          <w:rFonts w:asciiTheme="majorBidi" w:hAnsiTheme="majorBidi" w:cstheme="majorBidi"/>
          <w:sz w:val="24"/>
          <w:szCs w:val="24"/>
        </w:rPr>
        <w:t>article vise</w:t>
      </w:r>
      <w:r w:rsidR="00736E55" w:rsidRPr="00783B46">
        <w:rPr>
          <w:rFonts w:asciiTheme="majorBidi" w:hAnsiTheme="majorBidi" w:cstheme="majorBidi"/>
          <w:sz w:val="24"/>
          <w:szCs w:val="24"/>
        </w:rPr>
        <w:t xml:space="preserve"> à développer un cadre théorique intégré qui examine le rôle de l'entrepreneuriat dans la réalisation des ODD</w:t>
      </w:r>
      <w:r w:rsidR="00592DAA">
        <w:rPr>
          <w:rFonts w:asciiTheme="majorBidi" w:hAnsiTheme="majorBidi" w:cstheme="majorBidi"/>
          <w:sz w:val="24"/>
          <w:szCs w:val="24"/>
        </w:rPr>
        <w:t xml:space="preserve"> </w:t>
      </w:r>
      <w:r w:rsidR="00A35207" w:rsidRPr="00783B46">
        <w:rPr>
          <w:rFonts w:asciiTheme="majorBidi" w:hAnsiTheme="majorBidi" w:cstheme="majorBidi"/>
          <w:sz w:val="24"/>
          <w:szCs w:val="24"/>
        </w:rPr>
        <w:t xml:space="preserve">à </w:t>
      </w:r>
      <w:r w:rsidR="00DC2B1B" w:rsidRPr="00783B46">
        <w:rPr>
          <w:rFonts w:asciiTheme="majorBidi" w:hAnsiTheme="majorBidi" w:cstheme="majorBidi"/>
          <w:sz w:val="24"/>
          <w:szCs w:val="24"/>
        </w:rPr>
        <w:t>travers la</w:t>
      </w:r>
      <w:r w:rsidRPr="00783B46">
        <w:rPr>
          <w:rFonts w:asciiTheme="majorBidi" w:hAnsiTheme="majorBidi" w:cstheme="majorBidi"/>
          <w:sz w:val="24"/>
          <w:szCs w:val="24"/>
        </w:rPr>
        <w:t xml:space="preserve"> théorie positive</w:t>
      </w:r>
      <w:r w:rsidR="003E6F25" w:rsidRPr="00783B46">
        <w:rPr>
          <w:rFonts w:asciiTheme="majorBidi" w:hAnsiTheme="majorBidi" w:cstheme="majorBidi"/>
          <w:sz w:val="24"/>
          <w:szCs w:val="24"/>
        </w:rPr>
        <w:t xml:space="preserve">(Santos 2012) </w:t>
      </w:r>
      <w:r w:rsidR="00736E55" w:rsidRPr="00783B46">
        <w:rPr>
          <w:rFonts w:asciiTheme="majorBidi" w:hAnsiTheme="majorBidi" w:cstheme="majorBidi"/>
          <w:sz w:val="24"/>
          <w:szCs w:val="24"/>
        </w:rPr>
        <w:t xml:space="preserve">dans le contexte tunisien. En combinant </w:t>
      </w:r>
      <w:r w:rsidR="00134464" w:rsidRPr="00783B46">
        <w:rPr>
          <w:rFonts w:asciiTheme="majorBidi" w:hAnsiTheme="majorBidi" w:cstheme="majorBidi"/>
          <w:sz w:val="24"/>
          <w:szCs w:val="24"/>
        </w:rPr>
        <w:t xml:space="preserve">des </w:t>
      </w:r>
      <w:r w:rsidR="00E70618" w:rsidRPr="00783B46">
        <w:rPr>
          <w:rFonts w:asciiTheme="majorBidi" w:hAnsiTheme="majorBidi" w:cstheme="majorBidi"/>
          <w:sz w:val="24"/>
          <w:szCs w:val="24"/>
        </w:rPr>
        <w:t>théories et</w:t>
      </w:r>
      <w:r w:rsidR="00736E55" w:rsidRPr="00783B46">
        <w:rPr>
          <w:rFonts w:asciiTheme="majorBidi" w:hAnsiTheme="majorBidi" w:cstheme="majorBidi"/>
          <w:sz w:val="24"/>
          <w:szCs w:val="24"/>
        </w:rPr>
        <w:t xml:space="preserve"> en les adaptant aux réalités locales, nous cherchons à fournir une compréhension plus nuancée et holistique de cette dynamique. Cette approche intégrative</w:t>
      </w:r>
      <w:r w:rsidR="00811815" w:rsidRPr="00783B46">
        <w:rPr>
          <w:rFonts w:asciiTheme="majorBidi" w:hAnsiTheme="majorBidi" w:cstheme="majorBidi"/>
          <w:sz w:val="24"/>
          <w:szCs w:val="24"/>
        </w:rPr>
        <w:t>, tout en se basant sur le guide de la boussole des ODD</w:t>
      </w:r>
      <w:r w:rsidR="00592DAA">
        <w:rPr>
          <w:rStyle w:val="Appelnotedebasdep"/>
          <w:rFonts w:asciiTheme="majorBidi" w:hAnsiTheme="majorBidi" w:cstheme="majorBidi"/>
          <w:sz w:val="24"/>
          <w:szCs w:val="24"/>
        </w:rPr>
        <w:footnoteReference w:id="4"/>
      </w:r>
      <w:r w:rsidR="00811815" w:rsidRPr="00783B46">
        <w:rPr>
          <w:rFonts w:asciiTheme="majorBidi" w:hAnsiTheme="majorBidi" w:cstheme="majorBidi"/>
          <w:sz w:val="24"/>
          <w:szCs w:val="24"/>
        </w:rPr>
        <w:t xml:space="preserve"> élaborés par les nations unies,</w:t>
      </w:r>
      <w:r w:rsidR="00736E55" w:rsidRPr="00783B46">
        <w:rPr>
          <w:rFonts w:asciiTheme="majorBidi" w:hAnsiTheme="majorBidi" w:cstheme="majorBidi"/>
          <w:sz w:val="24"/>
          <w:szCs w:val="24"/>
        </w:rPr>
        <w:t xml:space="preserve"> permettra non seulement d'enrichir la littérature académique, mais aussi </w:t>
      </w:r>
      <w:r w:rsidR="00012766" w:rsidRPr="00783B46">
        <w:rPr>
          <w:rFonts w:asciiTheme="majorBidi" w:hAnsiTheme="majorBidi" w:cstheme="majorBidi"/>
          <w:sz w:val="24"/>
          <w:szCs w:val="24"/>
        </w:rPr>
        <w:t xml:space="preserve">faciliter </w:t>
      </w:r>
      <w:r w:rsidR="00BB2771" w:rsidRPr="00783B46">
        <w:rPr>
          <w:rFonts w:asciiTheme="majorBidi" w:hAnsiTheme="majorBidi" w:cstheme="majorBidi"/>
          <w:sz w:val="24"/>
          <w:szCs w:val="24"/>
        </w:rPr>
        <w:t xml:space="preserve">l'intégration des ODD </w:t>
      </w:r>
      <w:r w:rsidR="00811815" w:rsidRPr="00783B46">
        <w:rPr>
          <w:rFonts w:asciiTheme="majorBidi" w:hAnsiTheme="majorBidi" w:cstheme="majorBidi"/>
          <w:sz w:val="24"/>
          <w:szCs w:val="24"/>
        </w:rPr>
        <w:t xml:space="preserve">(Sanchez et al. 2020), </w:t>
      </w:r>
      <w:r w:rsidR="00012766" w:rsidRPr="00783B46">
        <w:rPr>
          <w:rFonts w:asciiTheme="majorBidi" w:hAnsiTheme="majorBidi" w:cstheme="majorBidi"/>
          <w:sz w:val="24"/>
          <w:szCs w:val="24"/>
        </w:rPr>
        <w:t xml:space="preserve">dans les stratégies entrepreneuriales dans le contexte Tunisien et </w:t>
      </w:r>
      <w:r w:rsidR="00736E55" w:rsidRPr="00783B46">
        <w:rPr>
          <w:rFonts w:asciiTheme="majorBidi" w:hAnsiTheme="majorBidi" w:cstheme="majorBidi"/>
          <w:sz w:val="24"/>
          <w:szCs w:val="24"/>
        </w:rPr>
        <w:t>contribuant ainsi à un développeme</w:t>
      </w:r>
      <w:r w:rsidR="007A4283" w:rsidRPr="00783B46">
        <w:rPr>
          <w:rFonts w:asciiTheme="majorBidi" w:hAnsiTheme="majorBidi" w:cstheme="majorBidi"/>
          <w:sz w:val="24"/>
          <w:szCs w:val="24"/>
        </w:rPr>
        <w:t xml:space="preserve">nt durable et inclusif du </w:t>
      </w:r>
      <w:r w:rsidR="00774AE9" w:rsidRPr="00783B46">
        <w:rPr>
          <w:rFonts w:asciiTheme="majorBidi" w:hAnsiTheme="majorBidi" w:cstheme="majorBidi"/>
          <w:sz w:val="24"/>
          <w:szCs w:val="24"/>
        </w:rPr>
        <w:t>pays.</w:t>
      </w:r>
    </w:p>
    <w:p w:rsidR="003C691A" w:rsidRDefault="003C691A" w:rsidP="00783B46">
      <w:pPr>
        <w:spacing w:line="360" w:lineRule="auto"/>
        <w:jc w:val="both"/>
        <w:rPr>
          <w:rFonts w:asciiTheme="majorBidi" w:hAnsiTheme="majorBidi" w:cstheme="majorBidi"/>
          <w:sz w:val="24"/>
          <w:szCs w:val="24"/>
        </w:rPr>
      </w:pPr>
      <w:r w:rsidRPr="00783B46">
        <w:rPr>
          <w:rFonts w:asciiTheme="majorBidi" w:hAnsiTheme="majorBidi" w:cstheme="majorBidi"/>
          <w:sz w:val="24"/>
          <w:szCs w:val="24"/>
        </w:rPr>
        <w:t xml:space="preserve">En fait, cet article s'articule autour de quatre axes analytiques essentiels. Premièrement, nous examinerons le contexte </w:t>
      </w:r>
      <w:r w:rsidR="00F61C99" w:rsidRPr="00783B46">
        <w:rPr>
          <w:rFonts w:asciiTheme="majorBidi" w:hAnsiTheme="majorBidi" w:cstheme="majorBidi"/>
          <w:sz w:val="24"/>
          <w:szCs w:val="24"/>
        </w:rPr>
        <w:t xml:space="preserve">de l’écosystème </w:t>
      </w:r>
      <w:r w:rsidRPr="00783B46">
        <w:rPr>
          <w:rFonts w:asciiTheme="majorBidi" w:hAnsiTheme="majorBidi" w:cstheme="majorBidi"/>
          <w:sz w:val="24"/>
          <w:szCs w:val="24"/>
        </w:rPr>
        <w:t xml:space="preserve">national tunisien et son engagement envers les </w:t>
      </w:r>
      <w:r w:rsidR="00F61C99" w:rsidRPr="00783B46">
        <w:rPr>
          <w:rFonts w:asciiTheme="majorBidi" w:hAnsiTheme="majorBidi" w:cstheme="majorBidi"/>
          <w:sz w:val="24"/>
          <w:szCs w:val="24"/>
        </w:rPr>
        <w:t>ODD</w:t>
      </w:r>
      <w:r w:rsidRPr="00783B46">
        <w:rPr>
          <w:rFonts w:asciiTheme="majorBidi" w:hAnsiTheme="majorBidi" w:cstheme="majorBidi"/>
          <w:sz w:val="24"/>
          <w:szCs w:val="24"/>
        </w:rPr>
        <w:t>, offrant un panorama détaillé des dynamiques territoriales. Deuxièmement, nous analyserons la nécessité impérieuse de la transition vers l'entrepreneuriat durable en Tunisie, mettant en lumière les enjeux et opportunités. Troisièmement, nous approfondirons la théorie positive développée par Santos (2012), socle conceptuel de notre recherche. Enfin, nous explorerons les modalités concrètes de transition vers un entrepreneuriat durable à travers le prisme de cette théorie, en proposant une perspective opérationnelle et stratégique.</w:t>
      </w:r>
    </w:p>
    <w:p w:rsidR="00592DAA" w:rsidRPr="00783B46" w:rsidRDefault="00592DAA" w:rsidP="00783B46">
      <w:pPr>
        <w:spacing w:line="360" w:lineRule="auto"/>
        <w:jc w:val="both"/>
        <w:rPr>
          <w:rFonts w:asciiTheme="majorBidi" w:hAnsiTheme="majorBidi" w:cstheme="majorBidi"/>
          <w:sz w:val="24"/>
          <w:szCs w:val="24"/>
        </w:rPr>
      </w:pPr>
    </w:p>
    <w:p w:rsidR="002A7562" w:rsidRPr="005F6450" w:rsidRDefault="00C438C0" w:rsidP="005F6450">
      <w:pPr>
        <w:pStyle w:val="Titre1"/>
        <w:spacing w:line="360" w:lineRule="auto"/>
        <w:jc w:val="both"/>
        <w:rPr>
          <w:rFonts w:asciiTheme="majorBidi" w:eastAsia="Times New Roman" w:hAnsiTheme="majorBidi"/>
          <w:sz w:val="24"/>
          <w:szCs w:val="24"/>
          <w:lang w:eastAsia="fr-FR"/>
        </w:rPr>
      </w:pPr>
      <w:r w:rsidRPr="005F6450">
        <w:rPr>
          <w:rFonts w:asciiTheme="majorBidi" w:eastAsia="Times New Roman" w:hAnsiTheme="majorBidi"/>
          <w:sz w:val="24"/>
          <w:szCs w:val="24"/>
          <w:lang w:eastAsia="fr-FR"/>
        </w:rPr>
        <w:lastRenderedPageBreak/>
        <w:t>Etat des lieux du développement durable en Tunisie</w:t>
      </w:r>
    </w:p>
    <w:p w:rsidR="00B4307C" w:rsidRPr="005F6450" w:rsidRDefault="00B4307C" w:rsidP="005F6450">
      <w:pPr>
        <w:spacing w:line="360" w:lineRule="auto"/>
        <w:jc w:val="both"/>
        <w:rPr>
          <w:rFonts w:asciiTheme="majorBidi" w:hAnsiTheme="majorBidi" w:cstheme="majorBidi"/>
          <w:sz w:val="24"/>
          <w:szCs w:val="24"/>
          <w:lang w:eastAsia="fr-FR"/>
        </w:rPr>
      </w:pPr>
    </w:p>
    <w:p w:rsidR="00DA4D51" w:rsidRPr="005F6450" w:rsidRDefault="00DA4D51" w:rsidP="005F6450">
      <w:pPr>
        <w:pStyle w:val="whitespace-pre-wrap"/>
        <w:spacing w:line="360" w:lineRule="auto"/>
        <w:jc w:val="both"/>
        <w:rPr>
          <w:rFonts w:asciiTheme="majorBidi" w:hAnsiTheme="majorBidi" w:cstheme="majorBidi"/>
        </w:rPr>
      </w:pPr>
      <w:r w:rsidRPr="005F6450">
        <w:rPr>
          <w:rFonts w:asciiTheme="majorBidi" w:hAnsiTheme="majorBidi" w:cstheme="majorBidi"/>
        </w:rPr>
        <w:t>L'</w:t>
      </w:r>
      <w:r w:rsidR="00834ADD" w:rsidRPr="005F6450">
        <w:rPr>
          <w:rFonts w:asciiTheme="majorBidi" w:hAnsiTheme="majorBidi" w:cstheme="majorBidi"/>
        </w:rPr>
        <w:t>organisation des nations unies</w:t>
      </w:r>
      <w:r w:rsidR="000A26CB" w:rsidRPr="005F6450">
        <w:rPr>
          <w:rFonts w:asciiTheme="majorBidi" w:hAnsiTheme="majorBidi" w:cstheme="majorBidi"/>
        </w:rPr>
        <w:t xml:space="preserve"> (ONU)</w:t>
      </w:r>
      <w:r w:rsidRPr="005F6450">
        <w:rPr>
          <w:rFonts w:asciiTheme="majorBidi" w:hAnsiTheme="majorBidi" w:cstheme="majorBidi"/>
        </w:rPr>
        <w:t xml:space="preserve"> a clairement appelé le secteur entrepreneurial à jouer un rôle moteur dans la résolution des défis de développement durable lors de l'Assemblée générale de 2015. Les entrepreneurs sont invités à faire preuve d'audace et de créativité pour apporter des solutions novatrices répondant aux enjeux sociaux, économiques et environnementaux mondiaux. </w:t>
      </w:r>
    </w:p>
    <w:p w:rsidR="00DA4D51" w:rsidRPr="005F6450" w:rsidRDefault="00DA4D51"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En outre, </w:t>
      </w:r>
      <w:r w:rsidR="000A26CB" w:rsidRPr="005F6450">
        <w:rPr>
          <w:rFonts w:asciiTheme="majorBidi" w:hAnsiTheme="majorBidi" w:cstheme="majorBidi"/>
        </w:rPr>
        <w:t>l’ONU</w:t>
      </w:r>
      <w:r w:rsidRPr="005F6450">
        <w:rPr>
          <w:rFonts w:asciiTheme="majorBidi" w:hAnsiTheme="majorBidi" w:cstheme="majorBidi"/>
        </w:rPr>
        <w:t xml:space="preserve"> en 2015 marque un tournant décisif dans les efforts mondiaux pour un avenir plus équitable et durable à travers l'adoption du Programme de développement durable à l'horizon 2030.S’inspirant sur les travaux antérieurs des Objectifs du Millénaire pour le développement, la feuille de route ambitieuse de l’agenda 2030 repose sur trois principes fondamentaux: l'universalité, l'inclusion et l'indivisibilité qui se manifestent en 17 </w:t>
      </w:r>
      <w:r w:rsidR="00890966" w:rsidRPr="005F6450">
        <w:rPr>
          <w:rFonts w:asciiTheme="majorBidi" w:hAnsiTheme="majorBidi" w:cstheme="majorBidi"/>
        </w:rPr>
        <w:t>ODD.</w:t>
      </w:r>
    </w:p>
    <w:p w:rsidR="00DA4D51" w:rsidRPr="005F6450" w:rsidRDefault="00747C5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A travers ces objectifs,</w:t>
      </w:r>
      <w:r w:rsidR="00DA4D51" w:rsidRPr="005F6450">
        <w:rPr>
          <w:rFonts w:asciiTheme="majorBidi" w:hAnsiTheme="majorBidi" w:cstheme="majorBidi"/>
        </w:rPr>
        <w:t xml:space="preserve"> déclinés en 169 cibles spécifiques, le Programme 2030 adopte une approche globale, s'adressant à toutes les nations et mobilisant l'ensemble des acteurs. </w:t>
      </w:r>
    </w:p>
    <w:p w:rsidR="00E1672A" w:rsidRPr="005F6450" w:rsidRDefault="004B215E" w:rsidP="005F6450">
      <w:pPr>
        <w:spacing w:line="360" w:lineRule="auto"/>
        <w:jc w:val="both"/>
        <w:rPr>
          <w:rFonts w:asciiTheme="majorBidi" w:hAnsiTheme="majorBidi" w:cstheme="majorBidi"/>
          <w:sz w:val="24"/>
          <w:szCs w:val="24"/>
          <w:shd w:val="clear" w:color="auto" w:fill="FFFFFF"/>
        </w:rPr>
      </w:pPr>
      <w:r w:rsidRPr="005F6450">
        <w:rPr>
          <w:rFonts w:asciiTheme="majorBidi" w:hAnsiTheme="majorBidi" w:cstheme="majorBidi"/>
          <w:sz w:val="24"/>
          <w:szCs w:val="24"/>
        </w:rPr>
        <w:t>En effet, ce programme</w:t>
      </w:r>
      <w:r w:rsidR="00E1672A" w:rsidRPr="005F6450">
        <w:rPr>
          <w:rFonts w:asciiTheme="majorBidi" w:hAnsiTheme="majorBidi" w:cstheme="majorBidi"/>
          <w:sz w:val="24"/>
          <w:szCs w:val="24"/>
        </w:rPr>
        <w:t xml:space="preserve"> est structuré autour de 5 domaines clés ou</w:t>
      </w:r>
      <w:r w:rsidRPr="005F6450">
        <w:rPr>
          <w:rFonts w:asciiTheme="majorBidi" w:hAnsiTheme="majorBidi" w:cstheme="majorBidi"/>
          <w:sz w:val="24"/>
          <w:szCs w:val="24"/>
        </w:rPr>
        <w:t xml:space="preserve"> bien encore « </w:t>
      </w:r>
      <w:r w:rsidR="00E1672A" w:rsidRPr="005F6450">
        <w:rPr>
          <w:rFonts w:asciiTheme="majorBidi" w:hAnsiTheme="majorBidi" w:cstheme="majorBidi"/>
          <w:sz w:val="24"/>
          <w:szCs w:val="24"/>
        </w:rPr>
        <w:t>les 5 P</w:t>
      </w:r>
      <w:r w:rsidRPr="005F6450">
        <w:rPr>
          <w:rFonts w:asciiTheme="majorBidi" w:hAnsiTheme="majorBidi" w:cstheme="majorBidi"/>
          <w:sz w:val="24"/>
          <w:szCs w:val="24"/>
        </w:rPr>
        <w:t> »</w:t>
      </w:r>
      <w:r w:rsidR="00E1672A" w:rsidRPr="005F6450">
        <w:rPr>
          <w:rFonts w:asciiTheme="majorBidi" w:hAnsiTheme="majorBidi" w:cstheme="majorBidi"/>
          <w:sz w:val="24"/>
          <w:szCs w:val="24"/>
        </w:rPr>
        <w:t xml:space="preserve"> (Peuple, Planète, Prospérité, Paix et Partenariats) intégrant les trois dimensions du développement durable (sociale, économique et environnementale) et pour la première fois la dimension bonne gouvernance, paix et justice dans le cadre d’un partenariat mondial revitalisé.</w:t>
      </w:r>
      <w:r w:rsidR="00E1672A" w:rsidRPr="005F6450">
        <w:rPr>
          <w:rStyle w:val="Appelnotedebasdep"/>
          <w:rFonts w:asciiTheme="majorBidi" w:hAnsiTheme="majorBidi" w:cstheme="majorBidi"/>
          <w:sz w:val="24"/>
          <w:szCs w:val="24"/>
        </w:rPr>
        <w:footnoteReference w:id="5"/>
      </w:r>
    </w:p>
    <w:p w:rsidR="00E1672A" w:rsidRPr="005F6450" w:rsidRDefault="00E1672A"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Son slogan "ne laisser personne de côté" reflète l'impératif d'inclusion, de ne laisser aucun individu ni communauté en marge du progrès. </w:t>
      </w:r>
    </w:p>
    <w:p w:rsidR="00DA4D51" w:rsidRPr="005F6450" w:rsidRDefault="00DA4D51" w:rsidP="005F6450">
      <w:pPr>
        <w:pStyle w:val="whitespace-pre-wrap"/>
        <w:spacing w:line="360" w:lineRule="auto"/>
        <w:jc w:val="both"/>
        <w:rPr>
          <w:rFonts w:asciiTheme="majorBidi" w:hAnsiTheme="majorBidi" w:cstheme="majorBidi"/>
        </w:rPr>
      </w:pPr>
      <w:r w:rsidRPr="005F6450">
        <w:rPr>
          <w:rFonts w:asciiTheme="majorBidi" w:hAnsiTheme="majorBidi" w:cstheme="majorBidi"/>
        </w:rPr>
        <w:t>Plus qu'une simple liste d'objectifs cloisonnés, les ODD forment un programme intégré et indissociable, reconnaissant les interconnexions profondes entre les défis sociaux, économiques et environnementaux auxquels l'humanité est confrontée. Cette vision systémique est essentielle pour relever les défis complexes et multidimensionnels du développement durable au 21ème siècle.</w:t>
      </w:r>
    </w:p>
    <w:p w:rsidR="003661BA" w:rsidRPr="005F6450" w:rsidRDefault="00DA4D51" w:rsidP="005F6450">
      <w:pPr>
        <w:pStyle w:val="whitespace-pre-wrap"/>
        <w:spacing w:line="360" w:lineRule="auto"/>
        <w:jc w:val="both"/>
        <w:rPr>
          <w:rFonts w:asciiTheme="majorBidi" w:hAnsiTheme="majorBidi" w:cstheme="majorBidi"/>
        </w:rPr>
      </w:pPr>
      <w:r w:rsidRPr="005F6450">
        <w:rPr>
          <w:rFonts w:asciiTheme="majorBidi" w:hAnsiTheme="majorBidi" w:cstheme="majorBidi"/>
        </w:rPr>
        <w:lastRenderedPageBreak/>
        <w:t>L'Agenda 2030 représente ainsi un changement de paradigme vers un nouveau modèle de développement qui place l'être humain et la planète au cœur des priorités, en garantissant une prospérité partagée, inclusive et respectueuse des limites naturelles.</w:t>
      </w:r>
    </w:p>
    <w:p w:rsidR="00AA7870" w:rsidRPr="005F6450" w:rsidRDefault="003661BA" w:rsidP="005F6450">
      <w:pPr>
        <w:spacing w:line="360" w:lineRule="auto"/>
        <w:jc w:val="both"/>
        <w:rPr>
          <w:rFonts w:asciiTheme="majorBidi" w:hAnsiTheme="majorBidi" w:cstheme="majorBidi"/>
          <w:sz w:val="24"/>
          <w:szCs w:val="24"/>
        </w:rPr>
      </w:pPr>
      <w:r w:rsidRPr="005F6450">
        <w:rPr>
          <w:rFonts w:asciiTheme="majorBidi" w:hAnsiTheme="majorBidi" w:cstheme="majorBidi"/>
          <w:sz w:val="24"/>
          <w:szCs w:val="24"/>
        </w:rPr>
        <w:t xml:space="preserve">Certes, le développement durable est l'aspect le plus important de la politique de développement des pays africains </w:t>
      </w:r>
      <w:r w:rsidR="003357FC" w:rsidRPr="005F6450">
        <w:rPr>
          <w:rFonts w:asciiTheme="majorBidi" w:hAnsiTheme="majorBidi" w:cstheme="majorBidi"/>
          <w:sz w:val="24"/>
          <w:szCs w:val="24"/>
        </w:rPr>
        <w:t>comme la Tunisie (</w:t>
      </w:r>
      <w:r w:rsidR="00AA7870" w:rsidRPr="005F6450">
        <w:rPr>
          <w:rFonts w:asciiTheme="majorBidi" w:hAnsiTheme="majorBidi" w:cstheme="majorBidi"/>
          <w:sz w:val="24"/>
          <w:szCs w:val="24"/>
          <w:shd w:val="clear" w:color="auto" w:fill="FFFFFF"/>
        </w:rPr>
        <w:t>Bartniczak et al. 2018</w:t>
      </w:r>
      <w:r w:rsidR="003357FC" w:rsidRPr="005F6450">
        <w:rPr>
          <w:rFonts w:asciiTheme="majorBidi" w:hAnsiTheme="majorBidi" w:cstheme="majorBidi"/>
          <w:sz w:val="24"/>
          <w:szCs w:val="24"/>
          <w:shd w:val="clear" w:color="auto" w:fill="FFFFFF"/>
        </w:rPr>
        <w:t>)</w:t>
      </w:r>
      <w:r w:rsidR="00DA4D51" w:rsidRPr="005F6450">
        <w:rPr>
          <w:rFonts w:asciiTheme="majorBidi" w:hAnsiTheme="majorBidi" w:cstheme="majorBidi"/>
          <w:sz w:val="24"/>
          <w:szCs w:val="24"/>
          <w:shd w:val="clear" w:color="auto" w:fill="FFFFFF"/>
        </w:rPr>
        <w:t>.</w:t>
      </w:r>
    </w:p>
    <w:p w:rsidR="00831BBA" w:rsidRPr="005F6450" w:rsidRDefault="00503048" w:rsidP="005F6450">
      <w:pPr>
        <w:spacing w:line="360" w:lineRule="auto"/>
        <w:jc w:val="both"/>
        <w:rPr>
          <w:rFonts w:asciiTheme="majorBidi" w:hAnsiTheme="majorBidi" w:cstheme="majorBidi"/>
          <w:sz w:val="24"/>
          <w:szCs w:val="24"/>
        </w:rPr>
      </w:pPr>
      <w:r w:rsidRPr="005F6450">
        <w:rPr>
          <w:rFonts w:asciiTheme="majorBidi" w:hAnsiTheme="majorBidi" w:cstheme="majorBidi"/>
          <w:sz w:val="24"/>
          <w:szCs w:val="24"/>
          <w:shd w:val="clear" w:color="auto" w:fill="FFFFFF"/>
        </w:rPr>
        <w:t xml:space="preserve">Cependant, l’adoption d’une telle politique de développement, concentre, naturellement, sur la réalisation des </w:t>
      </w:r>
      <w:r w:rsidR="009D6022" w:rsidRPr="005F6450">
        <w:rPr>
          <w:rFonts w:asciiTheme="majorBidi" w:hAnsiTheme="majorBidi" w:cstheme="majorBidi"/>
          <w:sz w:val="24"/>
          <w:szCs w:val="24"/>
          <w:shd w:val="clear" w:color="auto" w:fill="FFFFFF"/>
        </w:rPr>
        <w:t>ODD.</w:t>
      </w:r>
    </w:p>
    <w:p w:rsidR="00A35207" w:rsidRPr="005F6450" w:rsidRDefault="009857D2"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hAnsiTheme="majorBidi" w:cstheme="majorBidi"/>
          <w:sz w:val="24"/>
          <w:szCs w:val="24"/>
        </w:rPr>
        <w:t>Toutefois, en analysant  le tableau de bord des indicateurs des  ODD de la Tunisie</w:t>
      </w:r>
      <w:r w:rsidRPr="005F6450">
        <w:rPr>
          <w:rStyle w:val="Appelnotedebasdep"/>
          <w:rFonts w:asciiTheme="majorBidi" w:hAnsiTheme="majorBidi" w:cstheme="majorBidi"/>
          <w:sz w:val="24"/>
          <w:szCs w:val="24"/>
        </w:rPr>
        <w:footnoteReference w:id="6"/>
      </w:r>
      <w:r w:rsidRPr="005F6450">
        <w:rPr>
          <w:rFonts w:asciiTheme="majorBidi" w:hAnsiTheme="majorBidi" w:cstheme="majorBidi"/>
          <w:sz w:val="24"/>
          <w:szCs w:val="24"/>
        </w:rPr>
        <w:t xml:space="preserve">, on souligne </w:t>
      </w:r>
      <w:r w:rsidR="00142990" w:rsidRPr="005F6450">
        <w:rPr>
          <w:rFonts w:asciiTheme="majorBidi" w:hAnsiTheme="majorBidi" w:cstheme="majorBidi"/>
          <w:sz w:val="24"/>
          <w:szCs w:val="24"/>
        </w:rPr>
        <w:t>la réalisation</w:t>
      </w:r>
      <w:r w:rsidR="00142990" w:rsidRPr="005F6450">
        <w:rPr>
          <w:rFonts w:asciiTheme="majorBidi" w:eastAsia="Times New Roman" w:hAnsiTheme="majorBidi" w:cstheme="majorBidi"/>
          <w:sz w:val="24"/>
          <w:szCs w:val="24"/>
          <w:lang w:eastAsia="fr-FR"/>
        </w:rPr>
        <w:t xml:space="preserve"> jusqu’au début  2024 un score de progrès total vers la réalisation des ODD  égale à 72.5% </w:t>
      </w:r>
      <w:r w:rsidR="00142990" w:rsidRPr="005F6450">
        <w:rPr>
          <w:rStyle w:val="Appelnotedebasdep"/>
          <w:rFonts w:asciiTheme="majorBidi" w:eastAsia="Times New Roman" w:hAnsiTheme="majorBidi" w:cstheme="majorBidi"/>
          <w:sz w:val="24"/>
          <w:szCs w:val="24"/>
          <w:lang w:eastAsia="fr-FR"/>
        </w:rPr>
        <w:footnoteReference w:id="7"/>
      </w:r>
      <w:r w:rsidR="00A35207" w:rsidRPr="005F6450">
        <w:rPr>
          <w:rFonts w:asciiTheme="majorBidi" w:hAnsiTheme="majorBidi" w:cstheme="majorBidi"/>
          <w:sz w:val="24"/>
          <w:szCs w:val="24"/>
        </w:rPr>
        <w:t xml:space="preserve"> et un classement de 60ème sur 100 au niveau mondial, </w:t>
      </w:r>
      <w:r w:rsidRPr="005F6450">
        <w:rPr>
          <w:rFonts w:asciiTheme="majorBidi" w:hAnsiTheme="majorBidi" w:cstheme="majorBidi"/>
          <w:sz w:val="24"/>
          <w:szCs w:val="24"/>
        </w:rPr>
        <w:t xml:space="preserve">ce qui </w:t>
      </w:r>
      <w:r w:rsidR="00A35207" w:rsidRPr="005F6450">
        <w:rPr>
          <w:rFonts w:asciiTheme="majorBidi" w:hAnsiTheme="majorBidi" w:cstheme="majorBidi"/>
          <w:sz w:val="24"/>
          <w:szCs w:val="24"/>
        </w:rPr>
        <w:t xml:space="preserve"> démontre une progression encourageante vers le développement durable, particulièrement dans certains aspects économiques et sociaux. Cependant, les défis environnementaux restent considérables et nécessitent une attention particulière.</w:t>
      </w:r>
    </w:p>
    <w:p w:rsidR="00734395" w:rsidRPr="005F6450" w:rsidRDefault="00A3520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En effet, sur le plan social, la Tunisie affiche des résultats contrastés. Une avancée majeure est constatée avec l'atteinte de l'ODD 1 (élimination de la pauvreté), témoignant d'efforts significatifs dans la lutte contre la précarité. </w:t>
      </w:r>
    </w:p>
    <w:p w:rsidR="00734395" w:rsidRPr="005F6450" w:rsidRDefault="00A35207" w:rsidP="005F6450">
      <w:pPr>
        <w:spacing w:before="100" w:beforeAutospacing="1" w:after="100" w:afterAutospacing="1" w:line="360" w:lineRule="auto"/>
        <w:jc w:val="both"/>
        <w:rPr>
          <w:rFonts w:asciiTheme="majorBidi" w:hAnsiTheme="majorBidi" w:cstheme="majorBidi"/>
          <w:color w:val="7030A0"/>
          <w:sz w:val="24"/>
          <w:szCs w:val="24"/>
        </w:rPr>
      </w:pPr>
      <w:r w:rsidRPr="005F6450">
        <w:rPr>
          <w:rFonts w:asciiTheme="majorBidi" w:hAnsiTheme="majorBidi" w:cstheme="majorBidi"/>
          <w:sz w:val="24"/>
          <w:szCs w:val="24"/>
        </w:rPr>
        <w:t>Cependant, des défis importants persistent, notamment en matière d'égalité des genres (ODD 5) et de réduction des inégalités (ODD 10).</w:t>
      </w:r>
      <w:r w:rsidR="00734395" w:rsidRPr="005F6450">
        <w:rPr>
          <w:rFonts w:asciiTheme="majorBidi" w:hAnsiTheme="majorBidi" w:cstheme="majorBidi"/>
          <w:sz w:val="24"/>
          <w:szCs w:val="24"/>
        </w:rPr>
        <w:t xml:space="preserve"> Concernant l'égalité des sexes (ODD 5), l</w:t>
      </w:r>
      <w:r w:rsidR="00734395" w:rsidRPr="005F6450">
        <w:rPr>
          <w:rFonts w:asciiTheme="majorBidi" w:eastAsia="Times New Roman" w:hAnsiTheme="majorBidi" w:cstheme="majorBidi"/>
          <w:sz w:val="24"/>
          <w:szCs w:val="24"/>
          <w:lang w:eastAsia="fr-FR"/>
        </w:rPr>
        <w:t xml:space="preserve">e pays a adopté des lois progressistes, notamment sur l'héritage et la violence contre les femmes. Cependant, la participation économique des femmes reste faible, avec un taux d'activité féminine de seulement 27.7% en 2023 (INS, 2023). </w:t>
      </w:r>
      <w:r w:rsidR="00734395" w:rsidRPr="005F6450">
        <w:rPr>
          <w:rStyle w:val="Appelnotedebasdep"/>
          <w:rFonts w:asciiTheme="majorBidi" w:eastAsia="Times New Roman" w:hAnsiTheme="majorBidi" w:cstheme="majorBidi"/>
          <w:sz w:val="24"/>
          <w:szCs w:val="24"/>
          <w:lang w:eastAsia="fr-FR"/>
        </w:rPr>
        <w:footnoteReference w:id="8"/>
      </w:r>
    </w:p>
    <w:p w:rsidR="002A4F70" w:rsidRPr="005F6450" w:rsidRDefault="00E90268"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Concernant la santé (ODD 3), la situation est en amélioration puisque l'espérance de vie à la naissance est passée de 76.1 ans en 2014 à 76.9 ans en 2022 </w:t>
      </w:r>
      <w:r w:rsidRPr="005F6450">
        <w:rPr>
          <w:rStyle w:val="Appelnotedebasdep"/>
          <w:rFonts w:asciiTheme="majorBidi" w:hAnsiTheme="majorBidi" w:cstheme="majorBidi"/>
        </w:rPr>
        <w:footnoteReference w:id="9"/>
      </w:r>
      <w:r w:rsidRPr="005F6450">
        <w:rPr>
          <w:rFonts w:asciiTheme="majorBidi" w:hAnsiTheme="majorBidi" w:cstheme="majorBidi"/>
        </w:rPr>
        <w:t xml:space="preserve"> , mais nécessite encore des efforts conséquents (</w:t>
      </w:r>
      <w:r w:rsidRPr="005F6450">
        <w:rPr>
          <w:rFonts w:asciiTheme="majorBidi" w:hAnsiTheme="majorBidi" w:cstheme="majorBidi"/>
          <w:shd w:val="clear" w:color="auto" w:fill="FFFFFF"/>
        </w:rPr>
        <w:t>Institut National de la Statistique, 2022</w:t>
      </w:r>
      <w:r w:rsidRPr="005F6450">
        <w:rPr>
          <w:rFonts w:asciiTheme="majorBidi" w:hAnsiTheme="majorBidi" w:cstheme="majorBidi"/>
        </w:rPr>
        <w:t>). Néanmoins, des inégalités régionales en matière d'accès aux soins de santé subsistent.</w:t>
      </w:r>
    </w:p>
    <w:p w:rsidR="002A4F70" w:rsidRPr="005F6450" w:rsidRDefault="002A4F70"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hAnsiTheme="majorBidi" w:cstheme="majorBidi"/>
          <w:sz w:val="24"/>
          <w:szCs w:val="24"/>
        </w:rPr>
        <w:lastRenderedPageBreak/>
        <w:t xml:space="preserve">En matière d'éducation (ODD 4), le pays a atteint un taux de scolarisation primaire de 99.2% en 2021 </w:t>
      </w:r>
      <w:r w:rsidRPr="005F6450">
        <w:rPr>
          <w:rStyle w:val="Appelnotedebasdep"/>
          <w:rFonts w:asciiTheme="majorBidi" w:hAnsiTheme="majorBidi" w:cstheme="majorBidi"/>
          <w:sz w:val="24"/>
          <w:szCs w:val="24"/>
        </w:rPr>
        <w:footnoteReference w:id="10"/>
      </w:r>
      <w:r w:rsidRPr="005F6450">
        <w:rPr>
          <w:rFonts w:asciiTheme="majorBidi" w:hAnsiTheme="majorBidi" w:cstheme="majorBidi"/>
          <w:sz w:val="24"/>
          <w:szCs w:val="24"/>
        </w:rPr>
        <w:t xml:space="preserve">, bien que des défis persistent quant à la qualité de l'enseignement </w:t>
      </w:r>
      <w:r w:rsidRPr="005F6450">
        <w:rPr>
          <w:rFonts w:asciiTheme="majorBidi" w:eastAsia="Times New Roman" w:hAnsiTheme="majorBidi" w:cstheme="majorBidi"/>
          <w:sz w:val="24"/>
          <w:szCs w:val="24"/>
          <w:lang w:eastAsia="fr-FR"/>
        </w:rPr>
        <w:t>et l'adéquation avec le marché du travai</w:t>
      </w:r>
      <w:r w:rsidR="00012940" w:rsidRPr="005F6450">
        <w:rPr>
          <w:rFonts w:asciiTheme="majorBidi" w:eastAsia="Times New Roman" w:hAnsiTheme="majorBidi" w:cstheme="majorBidi"/>
          <w:sz w:val="24"/>
          <w:szCs w:val="24"/>
          <w:lang w:eastAsia="fr-FR"/>
        </w:rPr>
        <w:t>l.( Ministère d’éducation 2022).</w:t>
      </w:r>
    </w:p>
    <w:p w:rsidR="00A35207" w:rsidRPr="005F6450" w:rsidRDefault="00A3520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L'ODD 16 (paix et justice) reste également un défi majeur, soulignant la nécessité de renforcer les institutions et la gouvernance.</w:t>
      </w:r>
    </w:p>
    <w:p w:rsidR="00A35207" w:rsidRPr="005F6450" w:rsidRDefault="001A1F6E" w:rsidP="005F6450">
      <w:pPr>
        <w:pStyle w:val="whitespace-pre-wrap"/>
        <w:spacing w:line="360" w:lineRule="auto"/>
        <w:jc w:val="both"/>
        <w:rPr>
          <w:rFonts w:asciiTheme="majorBidi" w:hAnsiTheme="majorBidi" w:cstheme="majorBidi"/>
        </w:rPr>
      </w:pPr>
      <w:r w:rsidRPr="005F6450">
        <w:rPr>
          <w:rFonts w:asciiTheme="majorBidi" w:hAnsiTheme="majorBidi" w:cstheme="majorBidi"/>
        </w:rPr>
        <w:t>De l’autre côté, sur le plan é</w:t>
      </w:r>
      <w:r w:rsidR="00A35207" w:rsidRPr="005F6450">
        <w:rPr>
          <w:rFonts w:asciiTheme="majorBidi" w:hAnsiTheme="majorBidi" w:cstheme="majorBidi"/>
        </w:rPr>
        <w:t>conomique, la Tunisie montre des signes encourageants. L'atteinte de l'ODD 9 (innovation et infrastructure) et de l'ODD 17 (partenariats) démontre une certaine maturité dans le développement des infrastructures et la capacité à établir des partenariats stratégiques. Néanmoins, l'ODD 8 (travail décent et croissance économique) demeure un défi majeur, reflétant les difficultés persistantes en matière d'emploi et de développement économique inclusif. Les progrès concernant l'ODD 7 (énergie propre) et l'ODD 12 (consommation responsable) sont en cours mais requièrent encore des efforts d'amélioration.</w:t>
      </w:r>
    </w:p>
    <w:p w:rsidR="00A35207" w:rsidRPr="005F6450" w:rsidRDefault="009857D2" w:rsidP="005F6450">
      <w:pPr>
        <w:pStyle w:val="whitespace-pre-wrap"/>
        <w:spacing w:line="360" w:lineRule="auto"/>
        <w:jc w:val="both"/>
        <w:rPr>
          <w:rFonts w:asciiTheme="majorBidi" w:hAnsiTheme="majorBidi" w:cstheme="majorBidi"/>
        </w:rPr>
      </w:pPr>
      <w:r w:rsidRPr="005F6450">
        <w:rPr>
          <w:rFonts w:asciiTheme="majorBidi" w:hAnsiTheme="majorBidi" w:cstheme="majorBidi"/>
        </w:rPr>
        <w:t>Et enfin, sur le plan environnementale,</w:t>
      </w:r>
      <w:r w:rsidR="00A35207" w:rsidRPr="005F6450">
        <w:rPr>
          <w:rFonts w:asciiTheme="majorBidi" w:hAnsiTheme="majorBidi" w:cstheme="majorBidi"/>
        </w:rPr>
        <w:t xml:space="preserve"> les défis semblent les plus pressants. Les ODD 13 (action climatique), </w:t>
      </w:r>
      <w:r w:rsidR="00903797" w:rsidRPr="005F6450">
        <w:rPr>
          <w:rFonts w:asciiTheme="majorBidi" w:hAnsiTheme="majorBidi" w:cstheme="majorBidi"/>
        </w:rPr>
        <w:t>ODD</w:t>
      </w:r>
      <w:r w:rsidR="00A35207" w:rsidRPr="005F6450">
        <w:rPr>
          <w:rFonts w:asciiTheme="majorBidi" w:hAnsiTheme="majorBidi" w:cstheme="majorBidi"/>
        </w:rPr>
        <w:t xml:space="preserve">14 (vie aquatique) et </w:t>
      </w:r>
      <w:r w:rsidR="00903797" w:rsidRPr="005F6450">
        <w:rPr>
          <w:rFonts w:asciiTheme="majorBidi" w:hAnsiTheme="majorBidi" w:cstheme="majorBidi"/>
        </w:rPr>
        <w:t xml:space="preserve">ODD </w:t>
      </w:r>
      <w:r w:rsidR="00A35207" w:rsidRPr="005F6450">
        <w:rPr>
          <w:rFonts w:asciiTheme="majorBidi" w:hAnsiTheme="majorBidi" w:cstheme="majorBidi"/>
        </w:rPr>
        <w:t>15 (vie terrestre) sont tous identifiés comme des défis majeurs, indiquant une nécessité urgente d'actions plus vigoureuses pour la protection de l'environnement et la lutte contre le changement climatique. L'ODD 11 (villes durables) montre des signes d'amélioration mais nécessite encore des efforts substantiels. La situation concernant l'ODD 2 (faim zéro) reste également préoccupante, soulignant les liens étroits entre la durabilité environnementale et la sécurité alimentaire.</w:t>
      </w:r>
    </w:p>
    <w:p w:rsidR="00167128" w:rsidRPr="005F6450" w:rsidRDefault="00167128"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Du côté de l’ODD 17 « partenariat », on souligne </w:t>
      </w:r>
      <w:r w:rsidR="00E33CF6" w:rsidRPr="005F6450">
        <w:rPr>
          <w:rFonts w:asciiTheme="majorBidi" w:hAnsiTheme="majorBidi" w:cstheme="majorBidi"/>
        </w:rPr>
        <w:t>un partenariat stratégique</w:t>
      </w:r>
      <w:r w:rsidRPr="005F6450">
        <w:rPr>
          <w:rFonts w:asciiTheme="majorBidi" w:hAnsiTheme="majorBidi" w:cstheme="majorBidi"/>
        </w:rPr>
        <w:t xml:space="preserve"> entre la Tunisie et les Nations Unies qui vise plusieurs objectifs majeurs pour la période actuelle jusqu'en 2025. Il s'engage principalement dans le développement socioéconomique du pays, en accordant une attention particulière aux groupes sociaux les moins favorisés.</w:t>
      </w:r>
    </w:p>
    <w:p w:rsidR="00167128" w:rsidRPr="005F6450" w:rsidRDefault="00167128"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 xml:space="preserve">Cette collaboration s'articule autour de quatre axes prioritaires qui visent à renforcer la capacité du pays à atteindre ses objectifs de développement durable. L'accent est mis </w:t>
      </w:r>
      <w:r w:rsidR="00012940" w:rsidRPr="005F6450">
        <w:rPr>
          <w:rFonts w:asciiTheme="majorBidi" w:eastAsia="Times New Roman" w:hAnsiTheme="majorBidi" w:cstheme="majorBidi"/>
          <w:sz w:val="24"/>
          <w:szCs w:val="24"/>
          <w:lang w:eastAsia="fr-FR"/>
        </w:rPr>
        <w:t xml:space="preserve">surtout </w:t>
      </w:r>
      <w:r w:rsidRPr="005F6450">
        <w:rPr>
          <w:rFonts w:asciiTheme="majorBidi" w:eastAsia="Times New Roman" w:hAnsiTheme="majorBidi" w:cstheme="majorBidi"/>
          <w:sz w:val="24"/>
          <w:szCs w:val="24"/>
          <w:lang w:eastAsia="fr-FR"/>
        </w:rPr>
        <w:lastRenderedPageBreak/>
        <w:t>sur la création d'emplois de qualité et sur l'établissement d'une économie plus robuste et inclusive.</w:t>
      </w:r>
      <w:r w:rsidRPr="005F6450">
        <w:rPr>
          <w:rStyle w:val="Appelnotedebasdep"/>
          <w:rFonts w:asciiTheme="majorBidi" w:eastAsia="Times New Roman" w:hAnsiTheme="majorBidi" w:cstheme="majorBidi"/>
          <w:sz w:val="24"/>
          <w:szCs w:val="24"/>
          <w:lang w:eastAsia="fr-FR"/>
        </w:rPr>
        <w:footnoteReference w:id="11"/>
      </w:r>
    </w:p>
    <w:p w:rsidR="00167128" w:rsidRPr="005F6450" w:rsidRDefault="00167128"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Un aspect central de cette initiative est l'engagement à réduire les disparités sociales tout en renforçant la résilience du pays face aux défis environnementaux et aux situations de crise. Une approche inclusive est adoptée, avec un travail constant d'identification et d'analyse des besoins spécifiques des différentes communautés, indépendamment de leur origine. Cette démarche permet d'élaborer des solutions adaptées et efficaces pour répondre aux enjeux identifiés.</w:t>
      </w:r>
    </w:p>
    <w:p w:rsidR="00A35207" w:rsidRPr="005F6450" w:rsidRDefault="001B2B0A"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Par conséquent, </w:t>
      </w:r>
      <w:r w:rsidR="00012940" w:rsidRPr="005F6450">
        <w:rPr>
          <w:rFonts w:asciiTheme="majorBidi" w:hAnsiTheme="majorBidi" w:cstheme="majorBidi"/>
        </w:rPr>
        <w:t>l’</w:t>
      </w:r>
      <w:r w:rsidR="00A35207" w:rsidRPr="005F6450">
        <w:rPr>
          <w:rFonts w:asciiTheme="majorBidi" w:hAnsiTheme="majorBidi" w:cstheme="majorBidi"/>
        </w:rPr>
        <w:t xml:space="preserve">analyse </w:t>
      </w:r>
      <w:r w:rsidR="00012940" w:rsidRPr="005F6450">
        <w:rPr>
          <w:rFonts w:asciiTheme="majorBidi" w:hAnsiTheme="majorBidi" w:cstheme="majorBidi"/>
        </w:rPr>
        <w:t>du tableau de bord des index des ODD en tunisie</w:t>
      </w:r>
      <w:r w:rsidR="00012940" w:rsidRPr="005F6450">
        <w:rPr>
          <w:rFonts w:asciiTheme="majorBidi" w:hAnsiTheme="majorBidi" w:cstheme="majorBidi"/>
          <w:vertAlign w:val="superscript"/>
        </w:rPr>
        <w:footnoteReference w:id="12"/>
      </w:r>
      <w:r w:rsidR="00A35207" w:rsidRPr="005F6450">
        <w:rPr>
          <w:rFonts w:asciiTheme="majorBidi" w:hAnsiTheme="majorBidi" w:cstheme="majorBidi"/>
        </w:rPr>
        <w:t xml:space="preserve"> met en évidence l'interdépendance des différentes sphères du développement durable et souligne l'importance d'une approche holistique pour atteindre les objectifs de l'Agenda 2030</w:t>
      </w:r>
      <w:r w:rsidR="00012940" w:rsidRPr="005F6450">
        <w:rPr>
          <w:rFonts w:asciiTheme="majorBidi" w:hAnsiTheme="majorBidi" w:cstheme="majorBidi"/>
        </w:rPr>
        <w:t>.</w:t>
      </w:r>
    </w:p>
    <w:p w:rsidR="00C75BC8" w:rsidRPr="005F6450" w:rsidRDefault="00C75BC8" w:rsidP="005F6450">
      <w:pPr>
        <w:pStyle w:val="whitespace-pre-wrap"/>
        <w:spacing w:line="360" w:lineRule="auto"/>
        <w:jc w:val="both"/>
        <w:rPr>
          <w:rFonts w:asciiTheme="majorBidi" w:hAnsiTheme="majorBidi" w:cstheme="majorBidi"/>
        </w:rPr>
      </w:pPr>
      <w:r w:rsidRPr="005F6450">
        <w:rPr>
          <w:rFonts w:asciiTheme="majorBidi" w:hAnsiTheme="majorBidi" w:cstheme="majorBidi"/>
        </w:rPr>
        <w:t>Bien que le score global soit encourageant, il reste un travail considérable à accomplir, particulièrement dans les domaines environnementaux et sociaux.</w:t>
      </w:r>
    </w:p>
    <w:p w:rsidR="008D2C9A" w:rsidRPr="005F6450" w:rsidRDefault="002A4F70"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En effet, l</w:t>
      </w:r>
      <w:r w:rsidR="008D2C9A" w:rsidRPr="005F6450">
        <w:rPr>
          <w:rFonts w:asciiTheme="majorBidi" w:eastAsia="Times New Roman" w:hAnsiTheme="majorBidi" w:cstheme="majorBidi"/>
          <w:sz w:val="24"/>
          <w:szCs w:val="24"/>
          <w:lang w:eastAsia="fr-FR"/>
        </w:rPr>
        <w:t>a Tunisie a intégré les ODD dans sa stratégie nationale de développement, notamment à travers le Plan de Développement 2016-2020 et le Plan de Développement 2021-2025. Selon le Rapport National Volontaire 2021 sur la mise en œuvre des ODD, la Tunisie a réalisé des progrès significatifs dans plusieurs domaines, mais fait face à des défis persistants (Ministère de l'Économie, des Finances et de l'Appui à l'Investissement, 2021).</w:t>
      </w:r>
      <w:r w:rsidR="009F4A4D" w:rsidRPr="005F6450">
        <w:rPr>
          <w:rStyle w:val="Appelnotedebasdep"/>
          <w:rFonts w:asciiTheme="majorBidi" w:eastAsia="Times New Roman" w:hAnsiTheme="majorBidi" w:cstheme="majorBidi"/>
          <w:sz w:val="24"/>
          <w:szCs w:val="24"/>
          <w:lang w:eastAsia="fr-FR"/>
        </w:rPr>
        <w:footnoteReference w:id="13"/>
      </w:r>
    </w:p>
    <w:p w:rsidR="007329E1" w:rsidRPr="005F6450" w:rsidRDefault="007329E1" w:rsidP="005F6450">
      <w:pPr>
        <w:pStyle w:val="Titre1"/>
        <w:spacing w:line="360" w:lineRule="auto"/>
        <w:jc w:val="both"/>
        <w:rPr>
          <w:rFonts w:asciiTheme="majorBidi" w:eastAsia="Times New Roman" w:hAnsiTheme="majorBidi"/>
          <w:sz w:val="24"/>
          <w:szCs w:val="24"/>
          <w:lang w:eastAsia="fr-FR"/>
        </w:rPr>
      </w:pPr>
      <w:r w:rsidRPr="005F6450">
        <w:rPr>
          <w:rFonts w:asciiTheme="majorBidi" w:eastAsia="Times New Roman" w:hAnsiTheme="majorBidi"/>
          <w:sz w:val="24"/>
          <w:szCs w:val="24"/>
          <w:lang w:eastAsia="fr-FR"/>
        </w:rPr>
        <w:t>L’engagement l’écosystème national tunisien envers les ODD</w:t>
      </w:r>
    </w:p>
    <w:p w:rsidR="007329E1" w:rsidRPr="005F6450" w:rsidRDefault="007329E1" w:rsidP="005F6450">
      <w:pPr>
        <w:spacing w:line="360" w:lineRule="auto"/>
        <w:jc w:val="both"/>
        <w:rPr>
          <w:rFonts w:asciiTheme="majorBidi" w:hAnsiTheme="majorBidi" w:cstheme="majorBidi"/>
          <w:sz w:val="24"/>
          <w:szCs w:val="24"/>
          <w:lang w:eastAsia="fr-FR"/>
        </w:rPr>
      </w:pPr>
    </w:p>
    <w:p w:rsidR="00576894" w:rsidRPr="005F6450" w:rsidRDefault="007329E1" w:rsidP="005F6450">
      <w:pPr>
        <w:spacing w:line="360" w:lineRule="auto"/>
        <w:jc w:val="both"/>
        <w:rPr>
          <w:rFonts w:asciiTheme="majorBidi" w:hAnsiTheme="majorBidi" w:cstheme="majorBidi"/>
          <w:sz w:val="24"/>
          <w:szCs w:val="24"/>
        </w:rPr>
      </w:pPr>
      <w:r w:rsidRPr="005F6450">
        <w:rPr>
          <w:rFonts w:asciiTheme="majorBidi" w:hAnsiTheme="majorBidi" w:cstheme="majorBidi"/>
          <w:sz w:val="24"/>
          <w:szCs w:val="24"/>
          <w:lang w:eastAsia="fr-FR"/>
        </w:rPr>
        <w:t xml:space="preserve">Dans cette section, on va présenter </w:t>
      </w:r>
      <w:r w:rsidR="00576894" w:rsidRPr="005F6450">
        <w:rPr>
          <w:rFonts w:asciiTheme="majorBidi" w:hAnsiTheme="majorBidi" w:cstheme="majorBidi"/>
          <w:sz w:val="24"/>
          <w:szCs w:val="24"/>
        </w:rPr>
        <w:t>les contributions stratégiques du secteur privé et de l'entrepreneuriat social comme leviers fondamentaux pour la réalisation des ODD en Tunisie.</w:t>
      </w:r>
    </w:p>
    <w:p w:rsidR="00576894" w:rsidRPr="005F6450" w:rsidRDefault="00576894" w:rsidP="005F6450">
      <w:pPr>
        <w:spacing w:line="360" w:lineRule="auto"/>
        <w:jc w:val="both"/>
        <w:rPr>
          <w:rFonts w:asciiTheme="majorBidi" w:hAnsiTheme="majorBidi" w:cstheme="majorBidi"/>
          <w:sz w:val="24"/>
          <w:szCs w:val="24"/>
        </w:rPr>
      </w:pPr>
    </w:p>
    <w:p w:rsidR="00576894" w:rsidRPr="005F6450" w:rsidRDefault="00576894" w:rsidP="005F6450">
      <w:pPr>
        <w:spacing w:line="360" w:lineRule="auto"/>
        <w:jc w:val="both"/>
        <w:rPr>
          <w:rFonts w:asciiTheme="majorBidi" w:hAnsiTheme="majorBidi" w:cstheme="majorBidi"/>
          <w:sz w:val="24"/>
          <w:szCs w:val="24"/>
        </w:rPr>
      </w:pPr>
    </w:p>
    <w:p w:rsidR="00576894" w:rsidRPr="005F6450" w:rsidRDefault="00576894" w:rsidP="005F6450">
      <w:pPr>
        <w:spacing w:line="360" w:lineRule="auto"/>
        <w:jc w:val="both"/>
        <w:rPr>
          <w:rFonts w:asciiTheme="majorBidi" w:hAnsiTheme="majorBidi" w:cstheme="majorBidi"/>
          <w:sz w:val="24"/>
          <w:szCs w:val="24"/>
        </w:rPr>
      </w:pPr>
    </w:p>
    <w:p w:rsidR="00576894" w:rsidRPr="005F6450" w:rsidRDefault="00576894" w:rsidP="005F6450">
      <w:pPr>
        <w:spacing w:line="360" w:lineRule="auto"/>
        <w:jc w:val="both"/>
        <w:rPr>
          <w:rFonts w:asciiTheme="majorBidi" w:hAnsiTheme="majorBidi" w:cstheme="majorBidi"/>
          <w:sz w:val="24"/>
          <w:szCs w:val="24"/>
          <w:lang w:eastAsia="fr-FR"/>
        </w:rPr>
      </w:pPr>
    </w:p>
    <w:p w:rsidR="008D2C9A" w:rsidRPr="005F6450" w:rsidRDefault="002A7562" w:rsidP="005F6450">
      <w:pPr>
        <w:pStyle w:val="Titre2"/>
        <w:spacing w:line="360" w:lineRule="auto"/>
        <w:jc w:val="both"/>
        <w:rPr>
          <w:rFonts w:asciiTheme="majorBidi" w:eastAsia="Times New Roman" w:hAnsiTheme="majorBidi"/>
          <w:sz w:val="24"/>
          <w:szCs w:val="24"/>
          <w:lang w:eastAsia="fr-FR"/>
        </w:rPr>
      </w:pPr>
      <w:r w:rsidRPr="005F6450">
        <w:rPr>
          <w:rFonts w:asciiTheme="majorBidi" w:eastAsia="Times New Roman" w:hAnsiTheme="majorBidi"/>
          <w:sz w:val="24"/>
          <w:szCs w:val="24"/>
          <w:lang w:eastAsia="fr-FR"/>
        </w:rPr>
        <w:lastRenderedPageBreak/>
        <w:t xml:space="preserve">Contribution </w:t>
      </w:r>
      <w:r w:rsidR="00D33093" w:rsidRPr="005F6450">
        <w:rPr>
          <w:rFonts w:asciiTheme="majorBidi" w:eastAsia="Times New Roman" w:hAnsiTheme="majorBidi"/>
          <w:sz w:val="24"/>
          <w:szCs w:val="24"/>
          <w:lang w:eastAsia="fr-FR"/>
        </w:rPr>
        <w:t>du secteur privé</w:t>
      </w:r>
      <w:r w:rsidRPr="005F6450">
        <w:rPr>
          <w:rFonts w:asciiTheme="majorBidi" w:eastAsia="Times New Roman" w:hAnsiTheme="majorBidi"/>
          <w:sz w:val="24"/>
          <w:szCs w:val="24"/>
          <w:lang w:eastAsia="fr-FR"/>
        </w:rPr>
        <w:t xml:space="preserve"> tunisien</w:t>
      </w:r>
    </w:p>
    <w:p w:rsidR="00167128" w:rsidRPr="005F6450" w:rsidRDefault="00167128"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L'écosystème tunisien, comprenant le gouvernement, le secteur privé, la société civile et les institutions académiques, joue un rôle crucial dans la réalisation de ces objectifs.</w:t>
      </w:r>
    </w:p>
    <w:p w:rsidR="005E4B79" w:rsidRPr="005F6450" w:rsidRDefault="00DD6742" w:rsidP="005F6450">
      <w:pPr>
        <w:spacing w:before="100" w:beforeAutospacing="1" w:after="100" w:afterAutospacing="1" w:line="360" w:lineRule="auto"/>
        <w:jc w:val="both"/>
        <w:rPr>
          <w:rFonts w:asciiTheme="majorBidi" w:eastAsia="Times New Roman" w:hAnsiTheme="majorBidi" w:cstheme="majorBidi"/>
          <w:color w:val="00B050"/>
          <w:sz w:val="24"/>
          <w:szCs w:val="24"/>
          <w:lang w:eastAsia="fr-FR"/>
        </w:rPr>
      </w:pPr>
      <w:r w:rsidRPr="005F6450">
        <w:rPr>
          <w:rFonts w:asciiTheme="majorBidi" w:eastAsia="Times New Roman" w:hAnsiTheme="majorBidi" w:cstheme="majorBidi"/>
          <w:sz w:val="24"/>
          <w:szCs w:val="24"/>
          <w:lang w:eastAsia="fr-FR"/>
        </w:rPr>
        <w:t>Malgré les efforts du</w:t>
      </w:r>
      <w:r w:rsidR="005E4B79" w:rsidRPr="005F6450">
        <w:rPr>
          <w:rFonts w:asciiTheme="majorBidi" w:eastAsia="Times New Roman" w:hAnsiTheme="majorBidi" w:cstheme="majorBidi"/>
          <w:sz w:val="24"/>
          <w:szCs w:val="24"/>
          <w:lang w:eastAsia="fr-FR"/>
        </w:rPr>
        <w:t xml:space="preserve"> gouvernement tunisien </w:t>
      </w:r>
      <w:r w:rsidRPr="005F6450">
        <w:rPr>
          <w:rFonts w:asciiTheme="majorBidi" w:eastAsia="Times New Roman" w:hAnsiTheme="majorBidi" w:cstheme="majorBidi"/>
          <w:sz w:val="24"/>
          <w:szCs w:val="24"/>
          <w:lang w:eastAsia="fr-FR"/>
        </w:rPr>
        <w:t xml:space="preserve">qui </w:t>
      </w:r>
      <w:r w:rsidR="005E4B79" w:rsidRPr="005F6450">
        <w:rPr>
          <w:rFonts w:asciiTheme="majorBidi" w:eastAsia="Times New Roman" w:hAnsiTheme="majorBidi" w:cstheme="majorBidi"/>
          <w:sz w:val="24"/>
          <w:szCs w:val="24"/>
          <w:lang w:eastAsia="fr-FR"/>
        </w:rPr>
        <w:t xml:space="preserve">a mis en place des mécanismes institutionnels pour la mise en œuvre et le suivi des ODD, notamment </w:t>
      </w:r>
      <w:r w:rsidR="00890B27" w:rsidRPr="005F6450">
        <w:rPr>
          <w:rFonts w:asciiTheme="majorBidi" w:hAnsiTheme="majorBidi" w:cstheme="majorBidi"/>
          <w:sz w:val="24"/>
          <w:szCs w:val="24"/>
          <w:shd w:val="clear" w:color="auto" w:fill="FFFFFF"/>
        </w:rPr>
        <w:t>La Commission Nationale du développement durable</w:t>
      </w:r>
      <w:r w:rsidR="00890B27" w:rsidRPr="005F6450">
        <w:rPr>
          <w:rStyle w:val="Appelnotedebasdep"/>
          <w:rFonts w:asciiTheme="majorBidi" w:hAnsiTheme="majorBidi" w:cstheme="majorBidi"/>
          <w:color w:val="212121"/>
          <w:sz w:val="24"/>
          <w:szCs w:val="24"/>
          <w:shd w:val="clear" w:color="auto" w:fill="FFFFFF"/>
        </w:rPr>
        <w:footnoteReference w:id="14"/>
      </w:r>
      <w:r w:rsidRPr="005F6450">
        <w:rPr>
          <w:rFonts w:asciiTheme="majorBidi" w:hAnsiTheme="majorBidi" w:cstheme="majorBidi"/>
          <w:sz w:val="24"/>
          <w:szCs w:val="24"/>
          <w:shd w:val="clear" w:color="auto" w:fill="FFFFFF"/>
        </w:rPr>
        <w:t xml:space="preserve">, on souligne une contribution pertinente du secteur privé notamment à travers </w:t>
      </w:r>
      <w:r w:rsidRPr="005F6450">
        <w:rPr>
          <w:rFonts w:asciiTheme="majorBidi" w:hAnsiTheme="majorBidi" w:cstheme="majorBidi"/>
          <w:sz w:val="24"/>
          <w:szCs w:val="24"/>
        </w:rPr>
        <w:t>l’</w:t>
      </w:r>
      <w:r w:rsidRPr="005F6450">
        <w:rPr>
          <w:rFonts w:asciiTheme="majorBidi" w:hAnsiTheme="majorBidi" w:cstheme="majorBidi"/>
          <w:i/>
          <w:iCs/>
          <w:sz w:val="24"/>
          <w:szCs w:val="24"/>
          <w:shd w:val="clear" w:color="auto" w:fill="FFFFFF"/>
        </w:rPr>
        <w:t>Union</w:t>
      </w:r>
      <w:r w:rsidRPr="005F6450">
        <w:rPr>
          <w:rStyle w:val="Accentuation"/>
          <w:rFonts w:asciiTheme="majorBidi" w:hAnsiTheme="majorBidi" w:cstheme="majorBidi"/>
          <w:i w:val="0"/>
          <w:iCs w:val="0"/>
          <w:sz w:val="24"/>
          <w:szCs w:val="24"/>
          <w:shd w:val="clear" w:color="auto" w:fill="FFFFFF"/>
        </w:rPr>
        <w:t xml:space="preserve"> Tunisienne de l'industrie, du commerce et de l’artisanat.</w:t>
      </w:r>
    </w:p>
    <w:p w:rsidR="005E4B79" w:rsidRPr="005F6450" w:rsidRDefault="005E4B79" w:rsidP="005F6450">
      <w:pPr>
        <w:spacing w:before="100" w:beforeAutospacing="1" w:after="100" w:afterAutospacing="1" w:line="360" w:lineRule="auto"/>
        <w:jc w:val="both"/>
        <w:rPr>
          <w:rFonts w:asciiTheme="majorBidi" w:eastAsia="Times New Roman" w:hAnsiTheme="majorBidi" w:cstheme="majorBidi"/>
          <w:color w:val="00B050"/>
          <w:sz w:val="24"/>
          <w:szCs w:val="24"/>
          <w:lang w:eastAsia="fr-FR"/>
        </w:rPr>
      </w:pPr>
      <w:r w:rsidRPr="005F6450">
        <w:rPr>
          <w:rFonts w:asciiTheme="majorBidi" w:eastAsia="Times New Roman" w:hAnsiTheme="majorBidi" w:cstheme="majorBidi"/>
          <w:color w:val="00B050"/>
          <w:sz w:val="24"/>
          <w:szCs w:val="24"/>
          <w:lang w:eastAsia="fr-FR"/>
        </w:rPr>
        <w:t>.</w:t>
      </w:r>
    </w:p>
    <w:p w:rsidR="005E4B79" w:rsidRPr="005F6450" w:rsidRDefault="00E33CF6" w:rsidP="005F6450">
      <w:pPr>
        <w:pStyle w:val="Paragraphedeliste"/>
        <w:numPr>
          <w:ilvl w:val="0"/>
          <w:numId w:val="7"/>
        </w:numPr>
        <w:spacing w:before="100" w:beforeAutospacing="1" w:after="100" w:afterAutospacing="1" w:line="360" w:lineRule="auto"/>
        <w:jc w:val="both"/>
        <w:rPr>
          <w:rFonts w:asciiTheme="majorBidi" w:hAnsiTheme="majorBidi" w:cstheme="majorBidi"/>
          <w:sz w:val="24"/>
          <w:szCs w:val="24"/>
          <w:u w:val="single"/>
        </w:rPr>
      </w:pPr>
      <w:r w:rsidRPr="005F6450">
        <w:rPr>
          <w:rFonts w:asciiTheme="majorBidi" w:hAnsiTheme="majorBidi" w:cstheme="majorBidi"/>
          <w:sz w:val="24"/>
          <w:szCs w:val="24"/>
          <w:u w:val="single"/>
        </w:rPr>
        <w:t>L’</w:t>
      </w:r>
      <w:r w:rsidRPr="005F6450">
        <w:rPr>
          <w:rFonts w:asciiTheme="majorBidi" w:hAnsiTheme="majorBidi" w:cstheme="majorBidi"/>
          <w:i/>
          <w:iCs/>
          <w:sz w:val="24"/>
          <w:szCs w:val="24"/>
          <w:u w:val="single"/>
          <w:shd w:val="clear" w:color="auto" w:fill="FFFFFF"/>
        </w:rPr>
        <w:t>Union</w:t>
      </w:r>
      <w:r w:rsidR="005A5585" w:rsidRPr="005F6450">
        <w:rPr>
          <w:rStyle w:val="Accentuation"/>
          <w:rFonts w:asciiTheme="majorBidi" w:hAnsiTheme="majorBidi" w:cstheme="majorBidi"/>
          <w:i w:val="0"/>
          <w:iCs w:val="0"/>
          <w:sz w:val="24"/>
          <w:szCs w:val="24"/>
          <w:u w:val="single"/>
          <w:shd w:val="clear" w:color="auto" w:fill="FFFFFF"/>
        </w:rPr>
        <w:t xml:space="preserve"> Tunisienne de l'industrie, du commerce et de </w:t>
      </w:r>
      <w:r w:rsidR="00D33093" w:rsidRPr="005F6450">
        <w:rPr>
          <w:rStyle w:val="Accentuation"/>
          <w:rFonts w:asciiTheme="majorBidi" w:hAnsiTheme="majorBidi" w:cstheme="majorBidi"/>
          <w:i w:val="0"/>
          <w:iCs w:val="0"/>
          <w:sz w:val="24"/>
          <w:szCs w:val="24"/>
          <w:u w:val="single"/>
          <w:shd w:val="clear" w:color="auto" w:fill="FFFFFF"/>
        </w:rPr>
        <w:t>l’artisanat (</w:t>
      </w:r>
      <w:r w:rsidRPr="005F6450">
        <w:rPr>
          <w:rFonts w:asciiTheme="majorBidi" w:hAnsiTheme="majorBidi" w:cstheme="majorBidi"/>
          <w:sz w:val="24"/>
          <w:szCs w:val="24"/>
          <w:u w:val="single"/>
        </w:rPr>
        <w:t>UTICA)</w:t>
      </w:r>
    </w:p>
    <w:p w:rsidR="0072463E" w:rsidRPr="005F6450" w:rsidRDefault="0072463E"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 xml:space="preserve">À l'occasion de la Déclaration universelle des droits de l'homme, </w:t>
      </w:r>
      <w:r w:rsidRPr="005F6450">
        <w:rPr>
          <w:rFonts w:asciiTheme="majorBidi" w:hAnsiTheme="majorBidi" w:cstheme="majorBidi"/>
          <w:sz w:val="24"/>
          <w:szCs w:val="24"/>
        </w:rPr>
        <w:t>l’</w:t>
      </w:r>
      <w:r w:rsidR="00E33CF6" w:rsidRPr="005F6450">
        <w:rPr>
          <w:rStyle w:val="Accentuation"/>
          <w:rFonts w:asciiTheme="majorBidi" w:hAnsiTheme="majorBidi" w:cstheme="majorBidi"/>
          <w:i w:val="0"/>
          <w:iCs w:val="0"/>
          <w:sz w:val="24"/>
          <w:szCs w:val="24"/>
          <w:shd w:val="clear" w:color="auto" w:fill="FFFFFF"/>
        </w:rPr>
        <w:t>UTICA</w:t>
      </w:r>
      <w:r w:rsidRPr="005F6450">
        <w:rPr>
          <w:rStyle w:val="Accentuation"/>
          <w:rFonts w:asciiTheme="majorBidi" w:hAnsiTheme="majorBidi" w:cstheme="majorBidi"/>
          <w:i w:val="0"/>
          <w:iCs w:val="0"/>
          <w:sz w:val="24"/>
          <w:szCs w:val="24"/>
          <w:shd w:val="clear" w:color="auto" w:fill="FFFFFF"/>
        </w:rPr>
        <w:t xml:space="preserve">, qui est considéré comme une très importante organisation sociale en </w:t>
      </w:r>
      <w:r w:rsidR="00DD6742" w:rsidRPr="005F6450">
        <w:rPr>
          <w:rStyle w:val="Accentuation"/>
          <w:rFonts w:asciiTheme="majorBidi" w:hAnsiTheme="majorBidi" w:cstheme="majorBidi"/>
          <w:i w:val="0"/>
          <w:iCs w:val="0"/>
          <w:sz w:val="24"/>
          <w:szCs w:val="24"/>
          <w:shd w:val="clear" w:color="auto" w:fill="FFFFFF"/>
        </w:rPr>
        <w:t>Tunisie</w:t>
      </w:r>
      <w:r w:rsidRPr="005F6450">
        <w:rPr>
          <w:rStyle w:val="Accentuation"/>
          <w:rFonts w:asciiTheme="majorBidi" w:hAnsiTheme="majorBidi" w:cstheme="majorBidi"/>
          <w:i w:val="0"/>
          <w:iCs w:val="0"/>
          <w:sz w:val="24"/>
          <w:szCs w:val="24"/>
          <w:shd w:val="clear" w:color="auto" w:fill="FFFFFF"/>
        </w:rPr>
        <w:t>,</w:t>
      </w:r>
      <w:r w:rsidRPr="005F6450">
        <w:rPr>
          <w:rFonts w:asciiTheme="majorBidi" w:eastAsia="Times New Roman" w:hAnsiTheme="majorBidi" w:cstheme="majorBidi"/>
          <w:sz w:val="24"/>
          <w:szCs w:val="24"/>
          <w:lang w:eastAsia="fr-FR"/>
        </w:rPr>
        <w:t xml:space="preserve"> a exprimé son engagement envers l'Agenda 2030 des Nations Unies. Cet engagement s'est traduit par l'adhésion de cette organisation au Pacte mondial des Nations Unies le 10 décembre 2019 </w:t>
      </w:r>
      <w:r w:rsidRPr="005F6450">
        <w:rPr>
          <w:rStyle w:val="Appelnotedebasdep"/>
          <w:rFonts w:asciiTheme="majorBidi" w:eastAsia="Times New Roman" w:hAnsiTheme="majorBidi" w:cstheme="majorBidi"/>
          <w:sz w:val="24"/>
          <w:szCs w:val="24"/>
          <w:lang w:eastAsia="fr-FR"/>
        </w:rPr>
        <w:footnoteReference w:id="15"/>
      </w:r>
      <w:r w:rsidRPr="005F6450">
        <w:rPr>
          <w:rFonts w:asciiTheme="majorBidi" w:eastAsia="Times New Roman" w:hAnsiTheme="majorBidi" w:cstheme="majorBidi"/>
          <w:sz w:val="24"/>
          <w:szCs w:val="24"/>
          <w:lang w:eastAsia="fr-FR"/>
        </w:rPr>
        <w:t xml:space="preserve">, lors d'un séminaire dédié aux </w:t>
      </w:r>
      <w:r w:rsidR="00DD6742" w:rsidRPr="005F6450">
        <w:rPr>
          <w:rFonts w:asciiTheme="majorBidi" w:eastAsia="Times New Roman" w:hAnsiTheme="majorBidi" w:cstheme="majorBidi"/>
          <w:sz w:val="24"/>
          <w:szCs w:val="24"/>
          <w:lang w:eastAsia="fr-FR"/>
        </w:rPr>
        <w:t>ODD</w:t>
      </w:r>
      <w:r w:rsidRPr="005F6450">
        <w:rPr>
          <w:rFonts w:asciiTheme="majorBidi" w:eastAsia="Times New Roman" w:hAnsiTheme="majorBidi" w:cstheme="majorBidi"/>
          <w:sz w:val="24"/>
          <w:szCs w:val="24"/>
          <w:lang w:eastAsia="fr-FR"/>
        </w:rPr>
        <w:t xml:space="preserve"> et au rôle du secteur privé.</w:t>
      </w:r>
    </w:p>
    <w:p w:rsidR="0072463E" w:rsidRPr="005F6450" w:rsidRDefault="00E33CF6"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Lors de cette occasion, l’UTICA</w:t>
      </w:r>
      <w:r w:rsidR="0072463E" w:rsidRPr="005F6450">
        <w:rPr>
          <w:rFonts w:asciiTheme="majorBidi" w:eastAsia="Times New Roman" w:hAnsiTheme="majorBidi" w:cstheme="majorBidi"/>
          <w:sz w:val="24"/>
          <w:szCs w:val="24"/>
          <w:lang w:eastAsia="fr-FR"/>
        </w:rPr>
        <w:t xml:space="preserve"> a réaffirmé son attachement au développement durable et son soutien à la mise en œuvre des ODD les plus pertinents pour le monde des affaires, tels qu'identifiés par l'Organisation internationale des employeurs. Il s'agit notamment des ODD liés à l'éradication de la pauvreté, à l'éducation, à la croissance économique et à l'emploi décent, à l'innovation, à la réduction des inégalités, à la consommation et à la production durables, à la paix et à la justice, ainsi qu'au renforcement des partenariats.</w:t>
      </w:r>
    </w:p>
    <w:p w:rsidR="0072463E" w:rsidRPr="005F6450" w:rsidRDefault="0072463E"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Cet engagement traduit la volonté du secteur privé tunisien de s'impliquer activement dans la réalisation de l'Agenda 2030, en saisissant les nouvelles opportunités offertes en termes de commerce, d'investissement, d'innovation et de financement, tout en contribuant à un développement plus inclusif et durable pour le pays.</w:t>
      </w:r>
    </w:p>
    <w:p w:rsidR="005A5585" w:rsidRPr="005F6450" w:rsidRDefault="00E33CF6"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hAnsiTheme="majorBidi" w:cstheme="majorBidi"/>
          <w:sz w:val="24"/>
          <w:szCs w:val="24"/>
        </w:rPr>
        <w:t>En effet, l</w:t>
      </w:r>
      <w:r w:rsidR="00E15A0F" w:rsidRPr="005F6450">
        <w:rPr>
          <w:rFonts w:asciiTheme="majorBidi" w:hAnsiTheme="majorBidi" w:cstheme="majorBidi"/>
          <w:sz w:val="24"/>
          <w:szCs w:val="24"/>
        </w:rPr>
        <w:t>’UTICA s’est engagée dans différents programmes et projets de l’</w:t>
      </w:r>
      <w:r w:rsidR="005A5585" w:rsidRPr="005F6450">
        <w:rPr>
          <w:rFonts w:asciiTheme="majorBidi" w:hAnsiTheme="majorBidi" w:cstheme="majorBidi"/>
          <w:sz w:val="24"/>
          <w:szCs w:val="24"/>
        </w:rPr>
        <w:t>organisation internationale de travail</w:t>
      </w:r>
      <w:r w:rsidR="00E15A0F" w:rsidRPr="005F6450">
        <w:rPr>
          <w:rFonts w:asciiTheme="majorBidi" w:hAnsiTheme="majorBidi" w:cstheme="majorBidi"/>
          <w:sz w:val="24"/>
          <w:szCs w:val="24"/>
        </w:rPr>
        <w:t xml:space="preserve"> en Tunisie dans une démarche participative tels que : </w:t>
      </w:r>
    </w:p>
    <w:p w:rsidR="005A5585" w:rsidRPr="005F6450" w:rsidRDefault="00E15A0F"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hAnsiTheme="majorBidi" w:cstheme="majorBidi"/>
          <w:sz w:val="24"/>
          <w:szCs w:val="24"/>
        </w:rPr>
        <w:lastRenderedPageBreak/>
        <w:t xml:space="preserve">1. Le Programme par pays pour le travail décent (PPTD) 2017-2022 </w:t>
      </w:r>
      <w:r w:rsidR="005A5585" w:rsidRPr="005F6450">
        <w:rPr>
          <w:rStyle w:val="Appelnotedebasdep"/>
          <w:rFonts w:asciiTheme="majorBidi" w:hAnsiTheme="majorBidi" w:cstheme="majorBidi"/>
          <w:sz w:val="24"/>
          <w:szCs w:val="24"/>
        </w:rPr>
        <w:footnoteReference w:id="16"/>
      </w:r>
      <w:r w:rsidRPr="005F6450">
        <w:rPr>
          <w:rFonts w:asciiTheme="majorBidi" w:hAnsiTheme="majorBidi" w:cstheme="majorBidi"/>
          <w:sz w:val="24"/>
          <w:szCs w:val="24"/>
        </w:rPr>
        <w:t>vise les domaines de la création d’opportunités d’emplois pour les jeunes, le développement de l’entreprenariat, le renforcement du dialogue social, l’appui aux réformes de la sécurité sociale, et l’amélioration de la gouvernance de la migration de main d’œuvre. Les axes prioritaires du programme contribuent à la mise en œuvre des ODD 1 ; 3 ; 4 ; 8 et 16. La dimension Genre, la réduction des inégalités et le développement d’une coopération entre les différents partenaires sont considérés comme des objectifs clés.</w:t>
      </w:r>
    </w:p>
    <w:p w:rsidR="005A5585" w:rsidRPr="005F6450" w:rsidRDefault="00E15A0F"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hAnsiTheme="majorBidi" w:cstheme="majorBidi"/>
          <w:sz w:val="24"/>
          <w:szCs w:val="24"/>
        </w:rPr>
        <w:t xml:space="preserve"> 2. Le projet Emploi décent pour les jeunes, défini en cohérence avec l’ODD 8, contribue à favoriser l’employabi</w:t>
      </w:r>
      <w:r w:rsidR="005A5585" w:rsidRPr="005F6450">
        <w:rPr>
          <w:rFonts w:asciiTheme="majorBidi" w:hAnsiTheme="majorBidi" w:cstheme="majorBidi"/>
          <w:sz w:val="24"/>
          <w:szCs w:val="24"/>
        </w:rPr>
        <w:t xml:space="preserve">lité des jeunes et des femmes  </w:t>
      </w:r>
      <w:r w:rsidR="005A5585" w:rsidRPr="005F6450">
        <w:rPr>
          <w:rStyle w:val="Appelnotedebasdep"/>
          <w:rFonts w:asciiTheme="majorBidi" w:hAnsiTheme="majorBidi" w:cstheme="majorBidi"/>
          <w:sz w:val="24"/>
          <w:szCs w:val="24"/>
        </w:rPr>
        <w:footnoteReference w:id="17"/>
      </w:r>
      <w:r w:rsidR="005A5585" w:rsidRPr="005F6450">
        <w:rPr>
          <w:rFonts w:asciiTheme="majorBidi" w:hAnsiTheme="majorBidi" w:cstheme="majorBidi"/>
          <w:sz w:val="24"/>
          <w:szCs w:val="24"/>
        </w:rPr>
        <w:t>.</w:t>
      </w:r>
    </w:p>
    <w:p w:rsidR="00E15A0F" w:rsidRPr="005F6450" w:rsidRDefault="00E15A0F"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hAnsiTheme="majorBidi" w:cstheme="majorBidi"/>
          <w:sz w:val="24"/>
          <w:szCs w:val="24"/>
        </w:rPr>
        <w:t xml:space="preserve">3. Le projet Promotion des organisations et des mécanismes de l’économie sociale et solidaire </w:t>
      </w:r>
      <w:r w:rsidRPr="005F6450">
        <w:rPr>
          <w:rFonts w:asciiTheme="majorBidi" w:hAnsiTheme="majorBidi" w:cstheme="majorBidi"/>
          <w:sz w:val="24"/>
          <w:szCs w:val="24"/>
          <w:cs/>
        </w:rPr>
        <w:t>‎</w:t>
      </w:r>
      <w:r w:rsidRPr="005F6450">
        <w:rPr>
          <w:rFonts w:asciiTheme="majorBidi" w:hAnsiTheme="majorBidi" w:cstheme="majorBidi"/>
          <w:sz w:val="24"/>
          <w:szCs w:val="24"/>
        </w:rPr>
        <w:t>vise à contribuer à l’effort du Gouvernement et de ses partenaires nationaux et internationaux pour la création d’emplois décents pour les jeunes et la mise en place d’un écosystème favorable à l’économie sociale et solidaire, focalisant notamment sur quatre gouvernorats défavorisés de l’intérieur : Le Kef, Jendouba, Siliana et Béja.</w:t>
      </w:r>
    </w:p>
    <w:p w:rsidR="003A2251" w:rsidRPr="005F6450" w:rsidRDefault="003A2251" w:rsidP="005F6450">
      <w:pPr>
        <w:spacing w:line="360" w:lineRule="auto"/>
        <w:jc w:val="both"/>
        <w:rPr>
          <w:rFonts w:asciiTheme="majorBidi" w:hAnsiTheme="majorBidi" w:cstheme="majorBidi"/>
          <w:sz w:val="24"/>
          <w:szCs w:val="24"/>
        </w:rPr>
      </w:pPr>
    </w:p>
    <w:p w:rsidR="00E15A0F" w:rsidRPr="005F6450" w:rsidRDefault="005E4B79" w:rsidP="005F6450">
      <w:pPr>
        <w:pStyle w:val="Titre2"/>
        <w:spacing w:line="360" w:lineRule="auto"/>
        <w:jc w:val="both"/>
        <w:rPr>
          <w:rFonts w:asciiTheme="majorBidi" w:hAnsiTheme="majorBidi"/>
          <w:sz w:val="24"/>
          <w:szCs w:val="24"/>
        </w:rPr>
      </w:pPr>
      <w:r w:rsidRPr="005F6450">
        <w:rPr>
          <w:rFonts w:asciiTheme="majorBidi" w:hAnsiTheme="majorBidi"/>
          <w:sz w:val="24"/>
          <w:szCs w:val="24"/>
        </w:rPr>
        <w:t>Contribution de l’entrepreneuriat sociale aux ODD</w:t>
      </w:r>
    </w:p>
    <w:p w:rsidR="005E4B79" w:rsidRPr="005F6450" w:rsidRDefault="005E4B79" w:rsidP="005F6450">
      <w:pPr>
        <w:spacing w:line="360" w:lineRule="auto"/>
        <w:jc w:val="both"/>
        <w:rPr>
          <w:rFonts w:asciiTheme="majorBidi" w:hAnsiTheme="majorBidi" w:cstheme="majorBidi"/>
          <w:sz w:val="24"/>
          <w:szCs w:val="24"/>
        </w:rPr>
      </w:pPr>
    </w:p>
    <w:p w:rsidR="0015436E" w:rsidRPr="005F6450" w:rsidRDefault="0015436E" w:rsidP="005F6450">
      <w:pPr>
        <w:spacing w:line="360" w:lineRule="auto"/>
        <w:jc w:val="both"/>
        <w:rPr>
          <w:rFonts w:asciiTheme="majorBidi" w:hAnsiTheme="majorBidi" w:cstheme="majorBidi"/>
          <w:sz w:val="24"/>
          <w:szCs w:val="24"/>
        </w:rPr>
      </w:pPr>
      <w:r w:rsidRPr="005F6450">
        <w:rPr>
          <w:rFonts w:asciiTheme="majorBidi" w:hAnsiTheme="majorBidi" w:cstheme="majorBidi"/>
          <w:sz w:val="24"/>
          <w:szCs w:val="24"/>
        </w:rPr>
        <w:t xml:space="preserve">En Tunisie, l’économie sociale et solidaire (ESS) s’impose progressivement comme un levier de changements. </w:t>
      </w:r>
    </w:p>
    <w:p w:rsidR="00DD554E" w:rsidRPr="005F6450" w:rsidRDefault="00DD554E"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Le concept d'entreprise sociale attire de plus en plus l'attention en Tunisie</w:t>
      </w:r>
      <w:r w:rsidR="009E06B5" w:rsidRPr="005F6450">
        <w:rPr>
          <w:rFonts w:asciiTheme="majorBidi" w:eastAsia="Times New Roman" w:hAnsiTheme="majorBidi" w:cstheme="majorBidi"/>
          <w:sz w:val="24"/>
          <w:szCs w:val="24"/>
          <w:lang w:eastAsia="fr-FR"/>
        </w:rPr>
        <w:t>(</w:t>
      </w:r>
      <w:r w:rsidR="009E06B5" w:rsidRPr="005F6450">
        <w:rPr>
          <w:rFonts w:asciiTheme="majorBidi" w:hAnsiTheme="majorBidi" w:cstheme="majorBidi"/>
          <w:color w:val="222222"/>
          <w:sz w:val="24"/>
          <w:szCs w:val="24"/>
          <w:shd w:val="clear" w:color="auto" w:fill="FFFFFF"/>
        </w:rPr>
        <w:t>Mazhoudi, L. 2020)</w:t>
      </w:r>
      <w:r w:rsidRPr="005F6450">
        <w:rPr>
          <w:rFonts w:asciiTheme="majorBidi" w:eastAsia="Times New Roman" w:hAnsiTheme="majorBidi" w:cstheme="majorBidi"/>
          <w:sz w:val="24"/>
          <w:szCs w:val="24"/>
          <w:lang w:eastAsia="fr-FR"/>
        </w:rPr>
        <w:t xml:space="preserve">, car on constate une augmentation du nombre d'entreprises de ce type qui y opèrent. </w:t>
      </w:r>
    </w:p>
    <w:p w:rsidR="00DD554E" w:rsidRPr="005F6450" w:rsidRDefault="00DD554E" w:rsidP="005F6450">
      <w:pPr>
        <w:spacing w:line="360" w:lineRule="auto"/>
        <w:jc w:val="both"/>
        <w:rPr>
          <w:rFonts w:asciiTheme="majorBidi" w:hAnsiTheme="majorBidi" w:cstheme="majorBidi"/>
          <w:sz w:val="24"/>
          <w:szCs w:val="24"/>
        </w:rPr>
      </w:pPr>
      <w:r w:rsidRPr="005F6450">
        <w:rPr>
          <w:rFonts w:asciiTheme="majorBidi" w:hAnsiTheme="majorBidi" w:cstheme="majorBidi"/>
          <w:sz w:val="24"/>
          <w:szCs w:val="24"/>
        </w:rPr>
        <w:t>En effet, le nombre d'entreprises sociales et solidaires a considérablement augmenté, comprenant aujourd’hui environ 22 350 structures (associations, coopératives, sociétés mutuelles de services agricoles, mutuelles…) qui emploient près de 21 000 travailleurs. En 2023, le secteur contribue à près de 1% du PIB tunisien.</w:t>
      </w:r>
      <w:r w:rsidRPr="005F6450">
        <w:rPr>
          <w:rStyle w:val="Appelnotedebasdep"/>
          <w:rFonts w:asciiTheme="majorBidi" w:hAnsiTheme="majorBidi" w:cstheme="majorBidi"/>
          <w:sz w:val="24"/>
          <w:szCs w:val="24"/>
        </w:rPr>
        <w:footnoteReference w:id="18"/>
      </w:r>
    </w:p>
    <w:p w:rsidR="001F0D1A" w:rsidRPr="005F6450" w:rsidRDefault="00D33093"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lastRenderedPageBreak/>
        <w:t xml:space="preserve">L'essor des entreprises sociales en Tunisie montre que ce modèle économique qui allie performance économique et impact social suscite un intérêt grandissant, à la fois de la part des pouvoirs publics, des entreprises traditionnelles et du grand public. </w:t>
      </w:r>
      <w:r w:rsidR="00DD554E" w:rsidRPr="005F6450">
        <w:rPr>
          <w:rFonts w:asciiTheme="majorBidi" w:eastAsia="Times New Roman" w:hAnsiTheme="majorBidi" w:cstheme="majorBidi"/>
          <w:sz w:val="24"/>
          <w:szCs w:val="24"/>
          <w:lang w:eastAsia="fr-FR"/>
        </w:rPr>
        <w:t xml:space="preserve">Bien que leur activité reste encore assez méconnue du grand public, de plus en plus d'organisations s'approprient </w:t>
      </w:r>
      <w:r w:rsidRPr="005F6450">
        <w:rPr>
          <w:rFonts w:asciiTheme="majorBidi" w:eastAsia="Times New Roman" w:hAnsiTheme="majorBidi" w:cstheme="majorBidi"/>
          <w:sz w:val="24"/>
          <w:szCs w:val="24"/>
          <w:lang w:eastAsia="fr-FR"/>
        </w:rPr>
        <w:t>le concept d'entreprise sociale en adoptant des solutions innovantes afin de répondre à certains défis sociaux et environnementaux du pays.</w:t>
      </w:r>
    </w:p>
    <w:p w:rsidR="00DD554E" w:rsidRPr="005F6450" w:rsidRDefault="00DD554E"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Les programmes d'incubation existants jouent un rôle important dans la diffusion de ce concept, car les entreprises sociales ciblent souvent des entreprises sensibles aux questions sociales ou des organisations non gouvernementales, tout en utilisant des modèles économiques viables.</w:t>
      </w:r>
    </w:p>
    <w:p w:rsidR="001F0D1A" w:rsidRPr="005F6450" w:rsidRDefault="001F0D1A"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L'écosystème entrepreneurial tunisien connaît un essor significatif dans le domaine des entreprises sociales, soutenu par un réseau dynamique d'acteurs engagés. Des structures telles que le Tunisian Center for Social Entrepreneurship (TCSE), Lab'ess</w:t>
      </w:r>
      <w:r w:rsidR="00A86EBA" w:rsidRPr="005F6450">
        <w:rPr>
          <w:rFonts w:asciiTheme="majorBidi" w:eastAsia="Times New Roman" w:hAnsiTheme="majorBidi" w:cstheme="majorBidi"/>
          <w:sz w:val="24"/>
          <w:szCs w:val="24"/>
          <w:lang w:eastAsia="fr-FR"/>
        </w:rPr>
        <w:t xml:space="preserve"> (laboratoire de l’économie sociale et solidaire)</w:t>
      </w:r>
      <w:r w:rsidRPr="005F6450">
        <w:rPr>
          <w:rFonts w:asciiTheme="majorBidi" w:eastAsia="Times New Roman" w:hAnsiTheme="majorBidi" w:cstheme="majorBidi"/>
          <w:sz w:val="24"/>
          <w:szCs w:val="24"/>
          <w:lang w:eastAsia="fr-FR"/>
        </w:rPr>
        <w:t xml:space="preserve">, le Réseau Tunisien de l'Économie Sociale et Solidaire (RTESS) et IBDA (lance toi) </w:t>
      </w:r>
      <w:r w:rsidR="00A86EBA" w:rsidRPr="005F6450">
        <w:rPr>
          <w:rFonts w:asciiTheme="majorBidi" w:eastAsia="Times New Roman" w:hAnsiTheme="majorBidi" w:cstheme="majorBidi"/>
          <w:sz w:val="24"/>
          <w:szCs w:val="24"/>
          <w:lang w:eastAsia="fr-FR"/>
        </w:rPr>
        <w:t xml:space="preserve">qui est un </w:t>
      </w:r>
      <w:r w:rsidR="00A86EBA" w:rsidRPr="005F6450">
        <w:rPr>
          <w:rFonts w:asciiTheme="majorBidi" w:hAnsiTheme="majorBidi" w:cstheme="majorBidi"/>
          <w:color w:val="222222"/>
          <w:sz w:val="24"/>
          <w:szCs w:val="24"/>
          <w:shd w:val="clear" w:color="auto" w:fill="FFFFFF"/>
        </w:rPr>
        <w:t>accélérateur d'entreprises en Tunisie lancé en 2013 par la Banque Africaine de Développement (BAD) avec la collaboration de Yunus Social Business (YSB)</w:t>
      </w:r>
      <w:r w:rsidR="00A86EBA" w:rsidRPr="005F6450">
        <w:rPr>
          <w:rFonts w:asciiTheme="majorBidi" w:eastAsia="Times New Roman" w:hAnsiTheme="majorBidi" w:cstheme="majorBidi"/>
          <w:sz w:val="24"/>
          <w:szCs w:val="24"/>
          <w:lang w:eastAsia="fr-FR"/>
        </w:rPr>
        <w:t xml:space="preserve">, </w:t>
      </w:r>
      <w:r w:rsidRPr="005F6450">
        <w:rPr>
          <w:rFonts w:asciiTheme="majorBidi" w:eastAsia="Times New Roman" w:hAnsiTheme="majorBidi" w:cstheme="majorBidi"/>
          <w:sz w:val="24"/>
          <w:szCs w:val="24"/>
          <w:lang w:eastAsia="fr-FR"/>
        </w:rPr>
        <w:t>jouent un rôle déterminant dans l'accompagnement et le financement de ces modèles économiques innovants.</w:t>
      </w:r>
    </w:p>
    <w:p w:rsidR="001F0D1A" w:rsidRPr="005F6450" w:rsidRDefault="001F0D1A"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 xml:space="preserve">Ces organisations proposent une palette complète de services, allant de l'incubation à la formation et au soutien financier, permettant ainsi à de jeunes entreprises sociales de se développer et de s'inscrire dans la durée. Parallèlement, des acteurs institutionnels comme EndaInter-Arabe, </w:t>
      </w:r>
      <w:r w:rsidR="00697A2F" w:rsidRPr="005F6450">
        <w:rPr>
          <w:rFonts w:asciiTheme="majorBidi" w:eastAsia="Times New Roman" w:hAnsiTheme="majorBidi" w:cstheme="majorBidi"/>
          <w:sz w:val="24"/>
          <w:szCs w:val="24"/>
          <w:lang w:eastAsia="fr-FR"/>
        </w:rPr>
        <w:t>l’organisation allemande de coopération internationale (</w:t>
      </w:r>
      <w:r w:rsidRPr="005F6450">
        <w:rPr>
          <w:rFonts w:asciiTheme="majorBidi" w:eastAsia="Times New Roman" w:hAnsiTheme="majorBidi" w:cstheme="majorBidi"/>
          <w:sz w:val="24"/>
          <w:szCs w:val="24"/>
          <w:lang w:eastAsia="fr-FR"/>
        </w:rPr>
        <w:t>GIZ</w:t>
      </w:r>
      <w:r w:rsidR="00697A2F" w:rsidRPr="005F6450">
        <w:rPr>
          <w:rFonts w:asciiTheme="majorBidi" w:eastAsia="Times New Roman" w:hAnsiTheme="majorBidi" w:cstheme="majorBidi"/>
          <w:sz w:val="24"/>
          <w:szCs w:val="24"/>
          <w:lang w:eastAsia="fr-FR"/>
        </w:rPr>
        <w:t>)</w:t>
      </w:r>
      <w:r w:rsidRPr="005F6450">
        <w:rPr>
          <w:rFonts w:asciiTheme="majorBidi" w:eastAsia="Times New Roman" w:hAnsiTheme="majorBidi" w:cstheme="majorBidi"/>
          <w:sz w:val="24"/>
          <w:szCs w:val="24"/>
          <w:lang w:eastAsia="fr-FR"/>
        </w:rPr>
        <w:t xml:space="preserve">, </w:t>
      </w:r>
      <w:r w:rsidR="00697A2F" w:rsidRPr="005F6450">
        <w:rPr>
          <w:rFonts w:asciiTheme="majorBidi" w:eastAsia="Times New Roman" w:hAnsiTheme="majorBidi" w:cstheme="majorBidi"/>
          <w:sz w:val="24"/>
          <w:szCs w:val="24"/>
          <w:lang w:eastAsia="fr-FR"/>
        </w:rPr>
        <w:t>l’organisation de microfinance (</w:t>
      </w:r>
      <w:r w:rsidRPr="005F6450">
        <w:rPr>
          <w:rFonts w:asciiTheme="majorBidi" w:eastAsia="Times New Roman" w:hAnsiTheme="majorBidi" w:cstheme="majorBidi"/>
          <w:sz w:val="24"/>
          <w:szCs w:val="24"/>
          <w:lang w:eastAsia="fr-FR"/>
        </w:rPr>
        <w:t>TAYSSIR</w:t>
      </w:r>
      <w:r w:rsidR="00697A2F" w:rsidRPr="005F6450">
        <w:rPr>
          <w:rFonts w:asciiTheme="majorBidi" w:eastAsia="Times New Roman" w:hAnsiTheme="majorBidi" w:cstheme="majorBidi"/>
          <w:sz w:val="24"/>
          <w:szCs w:val="24"/>
          <w:lang w:eastAsia="fr-FR"/>
        </w:rPr>
        <w:t>)</w:t>
      </w:r>
      <w:r w:rsidRPr="005F6450">
        <w:rPr>
          <w:rFonts w:asciiTheme="majorBidi" w:eastAsia="Times New Roman" w:hAnsiTheme="majorBidi" w:cstheme="majorBidi"/>
          <w:sz w:val="24"/>
          <w:szCs w:val="24"/>
          <w:lang w:eastAsia="fr-FR"/>
        </w:rPr>
        <w:t>, la Banque de Financement des Petites et Moyennes Entreprises (BFPME) et la Banque Tunisienne de Solidarité (BTS) complètent cet écosystème en apportant leur expertise et leur soutien financier aux entrepreneurs sociaux.</w:t>
      </w:r>
    </w:p>
    <w:p w:rsidR="001F0D1A" w:rsidRPr="005F6450" w:rsidRDefault="001F0D1A"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Grâce à cette mobilisation concertée du secteur privé, de la société civile et des pouvoirs publics, les entreprises sociales tunisiennes gagnent en visibilité et en impact, contribuant ainsi à un développement économique et social plus inclusif dans le pays.</w:t>
      </w:r>
    </w:p>
    <w:p w:rsidR="005F3937" w:rsidRPr="005F6450" w:rsidRDefault="005F3937" w:rsidP="005F6450">
      <w:pPr>
        <w:spacing w:before="100" w:beforeAutospacing="1" w:after="100" w:afterAutospacing="1" w:line="360" w:lineRule="auto"/>
        <w:jc w:val="both"/>
        <w:rPr>
          <w:rFonts w:asciiTheme="majorBidi" w:hAnsiTheme="majorBidi" w:cstheme="majorBidi"/>
          <w:sz w:val="24"/>
          <w:szCs w:val="24"/>
        </w:rPr>
      </w:pPr>
    </w:p>
    <w:p w:rsidR="005F3937" w:rsidRPr="005F6450" w:rsidRDefault="005F3937" w:rsidP="005F6450">
      <w:pPr>
        <w:pStyle w:val="Titre1"/>
        <w:spacing w:line="360" w:lineRule="auto"/>
        <w:jc w:val="both"/>
        <w:rPr>
          <w:rFonts w:asciiTheme="majorBidi" w:hAnsiTheme="majorBidi"/>
          <w:sz w:val="24"/>
          <w:szCs w:val="24"/>
        </w:rPr>
      </w:pPr>
      <w:r w:rsidRPr="005F6450">
        <w:rPr>
          <w:rFonts w:asciiTheme="majorBidi" w:hAnsiTheme="majorBidi"/>
          <w:sz w:val="24"/>
          <w:szCs w:val="24"/>
        </w:rPr>
        <w:lastRenderedPageBreak/>
        <w:t>Nécessité de la transition vers l’entrepreneuriat durable en Tunisie</w:t>
      </w:r>
    </w:p>
    <w:p w:rsidR="005F3937" w:rsidRPr="005F6450" w:rsidRDefault="00F27C23" w:rsidP="005F6450">
      <w:pPr>
        <w:pStyle w:val="whitespace-pre-wrap"/>
        <w:spacing w:line="360" w:lineRule="auto"/>
        <w:jc w:val="both"/>
        <w:rPr>
          <w:rFonts w:asciiTheme="majorBidi" w:hAnsiTheme="majorBidi" w:cstheme="majorBidi"/>
        </w:rPr>
      </w:pPr>
      <w:r w:rsidRPr="005F6450">
        <w:rPr>
          <w:rFonts w:asciiTheme="majorBidi" w:hAnsiTheme="majorBidi" w:cstheme="majorBidi"/>
        </w:rPr>
        <w:t>L</w:t>
      </w:r>
      <w:r w:rsidR="005F3937" w:rsidRPr="005F6450">
        <w:rPr>
          <w:rFonts w:asciiTheme="majorBidi" w:hAnsiTheme="majorBidi" w:cstheme="majorBidi"/>
        </w:rPr>
        <w:t xml:space="preserve">a transformation de l'entrepreneuriat tunisien vers un modèle plus durable représente un enjeu crucial pour la réalisation des </w:t>
      </w:r>
      <w:r w:rsidRPr="005F6450">
        <w:rPr>
          <w:rFonts w:asciiTheme="majorBidi" w:hAnsiTheme="majorBidi" w:cstheme="majorBidi"/>
        </w:rPr>
        <w:t>ODD</w:t>
      </w:r>
      <w:r w:rsidR="005F3937" w:rsidRPr="005F6450">
        <w:rPr>
          <w:rFonts w:asciiTheme="majorBidi" w:hAnsiTheme="majorBidi" w:cstheme="majorBidi"/>
        </w:rPr>
        <w:t>. Cette transition, analysée à travers le prisme de la théorie positive de Santos (2012), démontre comment l'entrepreneuriat peut devenir un vecteur de changement systémique tout en contribuant au développement économique et social du pays.</w:t>
      </w:r>
    </w:p>
    <w:p w:rsidR="005F3937"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La théorie positive de Santos (2012) offre un cadre d'analyse pertinent pour comprendre cette transformation nécessaire. Selon cette approche, l'entrepreneuriat génère une valeur durable lorsqu'il privilégie la création de valeur partagée, l'innovation sociale systémique, et l'autonomisation des parties prenantes. Dans le contexte tunisien, cette théorie trouve une résonance particulière car elle permet d'articuler les dimensions économiques, sociales et environnementales du développement entrepreneurial </w:t>
      </w:r>
      <w:r w:rsidR="00B86B04" w:rsidRPr="005F6450">
        <w:rPr>
          <w:rFonts w:asciiTheme="majorBidi" w:hAnsiTheme="majorBidi" w:cstheme="majorBidi"/>
          <w:shd w:val="clear" w:color="auto" w:fill="FFFFFF"/>
        </w:rPr>
        <w:t>Slimane, S. B. (2016).</w:t>
      </w:r>
    </w:p>
    <w:p w:rsidR="005F3937"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L'urgence de cette transition est soulignée par plusieurs facteurs interconnectés. Sur le plan environnemental, la Tunisie fait face à des défis majeurs. Comme le soulignent </w:t>
      </w:r>
      <w:r w:rsidR="007A4EC5" w:rsidRPr="005F6450">
        <w:rPr>
          <w:rFonts w:asciiTheme="majorBidi" w:hAnsiTheme="majorBidi" w:cstheme="majorBidi"/>
        </w:rPr>
        <w:t xml:space="preserve">le rapport </w:t>
      </w:r>
      <w:r w:rsidR="004460D2" w:rsidRPr="005F6450">
        <w:rPr>
          <w:rFonts w:asciiTheme="majorBidi" w:hAnsiTheme="majorBidi" w:cstheme="majorBidi"/>
        </w:rPr>
        <w:t>du ministère</w:t>
      </w:r>
      <w:r w:rsidR="007A4EC5" w:rsidRPr="005F6450">
        <w:rPr>
          <w:rFonts w:asciiTheme="majorBidi" w:hAnsiTheme="majorBidi" w:cstheme="majorBidi"/>
        </w:rPr>
        <w:t xml:space="preserve"> des finances tunisienne en 2024</w:t>
      </w:r>
      <w:r w:rsidRPr="005F6450">
        <w:rPr>
          <w:rFonts w:asciiTheme="majorBidi" w:hAnsiTheme="majorBidi" w:cstheme="majorBidi"/>
        </w:rPr>
        <w:t xml:space="preserve">, le pays figure parmi </w:t>
      </w:r>
      <w:r w:rsidR="007A4EC5" w:rsidRPr="005F6450">
        <w:rPr>
          <w:rFonts w:asciiTheme="majorBidi" w:hAnsiTheme="majorBidi" w:cstheme="majorBidi"/>
        </w:rPr>
        <w:t xml:space="preserve">les pays africains </w:t>
      </w:r>
      <w:r w:rsidRPr="005F6450">
        <w:rPr>
          <w:rFonts w:asciiTheme="majorBidi" w:hAnsiTheme="majorBidi" w:cstheme="majorBidi"/>
        </w:rPr>
        <w:t xml:space="preserve">les plus vulnérables aux changements climatiques en Méditerranée, avec des coûts économiques potentiels atteignant </w:t>
      </w:r>
      <w:r w:rsidR="007A4EC5" w:rsidRPr="005F6450">
        <w:rPr>
          <w:rFonts w:asciiTheme="majorBidi" w:hAnsiTheme="majorBidi" w:cstheme="majorBidi"/>
        </w:rPr>
        <w:t>3</w:t>
      </w:r>
      <w:r w:rsidRPr="005F6450">
        <w:rPr>
          <w:rFonts w:asciiTheme="majorBidi" w:hAnsiTheme="majorBidi" w:cstheme="majorBidi"/>
        </w:rPr>
        <w:t>% du PIB d'ici</w:t>
      </w:r>
      <w:r w:rsidR="00F27C23" w:rsidRPr="005F6450">
        <w:rPr>
          <w:rFonts w:asciiTheme="majorBidi" w:hAnsiTheme="majorBidi" w:cstheme="majorBidi"/>
        </w:rPr>
        <w:t xml:space="preserve"> à </w:t>
      </w:r>
      <w:r w:rsidR="004460D2" w:rsidRPr="005F6450">
        <w:rPr>
          <w:rFonts w:asciiTheme="majorBidi" w:hAnsiTheme="majorBidi" w:cstheme="majorBidi"/>
        </w:rPr>
        <w:t>2050.</w:t>
      </w:r>
      <w:r w:rsidR="000E21A3" w:rsidRPr="005F6450">
        <w:rPr>
          <w:rStyle w:val="Appelnotedebasdep"/>
          <w:rFonts w:asciiTheme="majorBidi" w:hAnsiTheme="majorBidi" w:cstheme="majorBidi"/>
        </w:rPr>
        <w:footnoteReference w:id="19"/>
      </w:r>
    </w:p>
    <w:p w:rsidR="005F3937"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La transformation vers l'entrepreneuriat durable offre des avantages compétitifs significatifs. Les travaux de </w:t>
      </w:r>
      <w:r w:rsidR="000B7D4D" w:rsidRPr="005F6450">
        <w:rPr>
          <w:rFonts w:asciiTheme="majorBidi" w:hAnsiTheme="majorBidi" w:cstheme="majorBidi"/>
          <w:shd w:val="clear" w:color="auto" w:fill="FFFFFF"/>
        </w:rPr>
        <w:t>Sdiri, H., &amp; Ammar, I. (2024)</w:t>
      </w:r>
      <w:r w:rsidRPr="005F6450">
        <w:rPr>
          <w:rFonts w:asciiTheme="majorBidi" w:hAnsiTheme="majorBidi" w:cstheme="majorBidi"/>
        </w:rPr>
        <w:t xml:space="preserve">démontrent que l'adoption de pratiques durables permet aux entreprises tunisiennes de mieux s'intégrer dans les chaînes de valeur mondiales, répondant ainsi aux exigences croissantes des normes environnementales internationales. </w:t>
      </w:r>
      <w:r w:rsidR="000B7D4D" w:rsidRPr="005F6450">
        <w:rPr>
          <w:rFonts w:asciiTheme="majorBidi" w:hAnsiTheme="majorBidi" w:cstheme="majorBidi"/>
        </w:rPr>
        <w:t xml:space="preserve">En outre, leurs </w:t>
      </w:r>
      <w:r w:rsidR="004460D2" w:rsidRPr="005F6450">
        <w:rPr>
          <w:rFonts w:asciiTheme="majorBidi" w:hAnsiTheme="majorBidi" w:cstheme="majorBidi"/>
        </w:rPr>
        <w:t>travaux établissent</w:t>
      </w:r>
      <w:r w:rsidRPr="005F6450">
        <w:rPr>
          <w:rFonts w:asciiTheme="majorBidi" w:hAnsiTheme="majorBidi" w:cstheme="majorBidi"/>
        </w:rPr>
        <w:t xml:space="preserve"> une corrélation positive entre les pratiques durables et la performance financière des entreprises tunisiennes, soulignant ainsi la viabilité économique de cette transition.</w:t>
      </w:r>
    </w:p>
    <w:p w:rsidR="005F3937"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L'impact social de cette transformation est également crucial. </w:t>
      </w:r>
      <w:r w:rsidR="00D41B99" w:rsidRPr="005F6450">
        <w:rPr>
          <w:rFonts w:asciiTheme="majorBidi" w:hAnsiTheme="majorBidi" w:cstheme="majorBidi"/>
        </w:rPr>
        <w:t>En effet, l</w:t>
      </w:r>
      <w:r w:rsidRPr="005F6450">
        <w:rPr>
          <w:rFonts w:asciiTheme="majorBidi" w:hAnsiTheme="majorBidi" w:cstheme="majorBidi"/>
        </w:rPr>
        <w:t>'entrepreneuriat durable catalyse la création d'emplois verts et décents</w:t>
      </w:r>
      <w:r w:rsidR="005D7EB5" w:rsidRPr="005F6450">
        <w:rPr>
          <w:rStyle w:val="Appelnotedebasdep"/>
          <w:rFonts w:asciiTheme="majorBidi" w:hAnsiTheme="majorBidi" w:cstheme="majorBidi"/>
        </w:rPr>
        <w:footnoteReference w:id="20"/>
      </w:r>
      <w:r w:rsidRPr="005F6450">
        <w:rPr>
          <w:rFonts w:asciiTheme="majorBidi" w:hAnsiTheme="majorBidi" w:cstheme="majorBidi"/>
        </w:rPr>
        <w:t xml:space="preserve">, contribuant ainsi à la réduction des disparités régionales. </w:t>
      </w:r>
      <w:r w:rsidR="005229B5" w:rsidRPr="005F6450">
        <w:rPr>
          <w:rFonts w:asciiTheme="majorBidi" w:hAnsiTheme="majorBidi" w:cstheme="majorBidi"/>
        </w:rPr>
        <w:t>Bassi, S. (2020) démontre</w:t>
      </w:r>
      <w:r w:rsidRPr="005F6450">
        <w:rPr>
          <w:rFonts w:asciiTheme="majorBidi" w:hAnsiTheme="majorBidi" w:cstheme="majorBidi"/>
        </w:rPr>
        <w:t xml:space="preserve"> comment l'entrepreneuriat social en Tunisie agit comme un levier d'inclusion sociale, particulièrement pour les groupes marginalisés. </w:t>
      </w:r>
      <w:r w:rsidRPr="005F6450">
        <w:rPr>
          <w:rFonts w:asciiTheme="majorBidi" w:hAnsiTheme="majorBidi" w:cstheme="majorBidi"/>
        </w:rPr>
        <w:lastRenderedPageBreak/>
        <w:t>Cette dimension sociale s'aligne parfaitement avec la théorie de Santos qui met l'accent sur la création de valeur partagée.</w:t>
      </w:r>
    </w:p>
    <w:p w:rsidR="005F3937"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La réalisation des ODD à travers l'entrepreneuriat durable s'opère selon plusieurs mécanismes identifiés par la théorie positive. Premièrement, le développement de modèles d'affaires hybrides, comme documenté par </w:t>
      </w:r>
      <w:r w:rsidR="0075797D" w:rsidRPr="005F6450">
        <w:rPr>
          <w:rFonts w:asciiTheme="majorBidi" w:hAnsiTheme="majorBidi" w:cstheme="majorBidi"/>
        </w:rPr>
        <w:t>Slimane, S. B. (2016)</w:t>
      </w:r>
      <w:r w:rsidRPr="005F6450">
        <w:rPr>
          <w:rFonts w:asciiTheme="majorBidi" w:hAnsiTheme="majorBidi" w:cstheme="majorBidi"/>
        </w:rPr>
        <w:t xml:space="preserve">, permet d'intégrer les objectifs sociaux dans la stratégie d'entreprise. Deuxièmement, l'innovation durable, facilitée par l'adoption de technologies propres et la valorisation des ressources territoriales </w:t>
      </w:r>
      <w:r w:rsidR="0075797D" w:rsidRPr="005F6450">
        <w:rPr>
          <w:rFonts w:asciiTheme="majorBidi" w:hAnsiTheme="majorBidi" w:cstheme="majorBidi"/>
        </w:rPr>
        <w:t>Sdiri, H., &amp; Ammar, I. (2024)</w:t>
      </w:r>
      <w:r w:rsidRPr="005F6450">
        <w:rPr>
          <w:rFonts w:asciiTheme="majorBidi" w:hAnsiTheme="majorBidi" w:cstheme="majorBidi"/>
        </w:rPr>
        <w:t>, contr</w:t>
      </w:r>
      <w:r w:rsidR="0075797D" w:rsidRPr="005F6450">
        <w:rPr>
          <w:rFonts w:asciiTheme="majorBidi" w:hAnsiTheme="majorBidi" w:cstheme="majorBidi"/>
        </w:rPr>
        <w:t>ibue directement aux ODD.</w:t>
      </w:r>
    </w:p>
    <w:p w:rsidR="004D0783"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Cette transition nécessite cependant un écosystème favorable. </w:t>
      </w:r>
      <w:r w:rsidR="004D0783" w:rsidRPr="005F6450">
        <w:rPr>
          <w:rFonts w:asciiTheme="majorBidi" w:hAnsiTheme="majorBidi" w:cstheme="majorBidi"/>
        </w:rPr>
        <w:t>En effet, l'alignement de la Tunisie avec la Stratégie Nationale de Développement Durable (SNDD) et ses engagements internationaux constitue un cadre institutionnel structurant pour la transition durable, bien que des obstacles significatifs subsistent. En outre, la SNDD 2020-2030 a permis la mise en place d'un cadre réglementaire favorable, notamment à travers la loi n°2019-47 sur l'amélioration du climat des affaires, qui intègre des dispositions spécifiques pour les entreprises vertes.</w:t>
      </w:r>
    </w:p>
    <w:p w:rsidR="00E65C0E" w:rsidRPr="00100519" w:rsidRDefault="005F3937" w:rsidP="00100519">
      <w:pPr>
        <w:spacing w:line="360" w:lineRule="auto"/>
        <w:jc w:val="both"/>
        <w:rPr>
          <w:rFonts w:asciiTheme="majorBidi" w:hAnsiTheme="majorBidi" w:cstheme="majorBidi"/>
          <w:sz w:val="24"/>
          <w:szCs w:val="24"/>
        </w:rPr>
      </w:pPr>
      <w:r w:rsidRPr="00100519">
        <w:rPr>
          <w:rFonts w:asciiTheme="majorBidi" w:hAnsiTheme="majorBidi" w:cstheme="majorBidi"/>
          <w:sz w:val="24"/>
          <w:szCs w:val="24"/>
        </w:rPr>
        <w:t xml:space="preserve">L'application de la théorie de Santos au contexte tunisien révèle également l'importance de l'innovation sociale systémique. </w:t>
      </w:r>
      <w:r w:rsidR="00E65C0E" w:rsidRPr="00100519">
        <w:rPr>
          <w:rFonts w:asciiTheme="majorBidi" w:hAnsiTheme="majorBidi" w:cstheme="majorBidi"/>
          <w:sz w:val="24"/>
          <w:szCs w:val="24"/>
        </w:rPr>
        <w:t>Kouam, J. C., &amp;Asongu, S. A. (2022)</w:t>
      </w:r>
      <w:r w:rsidRPr="00100519">
        <w:rPr>
          <w:rFonts w:asciiTheme="majorBidi" w:hAnsiTheme="majorBidi" w:cstheme="majorBidi"/>
          <w:sz w:val="24"/>
          <w:szCs w:val="24"/>
        </w:rPr>
        <w:t xml:space="preserve"> démontrent </w:t>
      </w:r>
      <w:r w:rsidR="00E65C0E" w:rsidRPr="00100519">
        <w:rPr>
          <w:rFonts w:asciiTheme="majorBidi" w:hAnsiTheme="majorBidi" w:cstheme="majorBidi"/>
          <w:sz w:val="24"/>
          <w:szCs w:val="24"/>
        </w:rPr>
        <w:t xml:space="preserve">que les pratiques de l’entrepreneuriat durable comme l’innovation sociale sont </w:t>
      </w:r>
      <w:r w:rsidR="00990615" w:rsidRPr="00100519">
        <w:rPr>
          <w:rFonts w:asciiTheme="majorBidi" w:hAnsiTheme="majorBidi" w:cstheme="majorBidi"/>
          <w:sz w:val="24"/>
          <w:szCs w:val="24"/>
        </w:rPr>
        <w:t>cruciaux et nécessaires</w:t>
      </w:r>
      <w:r w:rsidR="00E65C0E" w:rsidRPr="00100519">
        <w:rPr>
          <w:rFonts w:asciiTheme="majorBidi" w:hAnsiTheme="majorBidi" w:cstheme="majorBidi"/>
          <w:sz w:val="24"/>
          <w:szCs w:val="24"/>
        </w:rPr>
        <w:t xml:space="preserve"> pour pour la réalisation des </w:t>
      </w:r>
      <w:r w:rsidR="005902E8" w:rsidRPr="00100519">
        <w:rPr>
          <w:rFonts w:asciiTheme="majorBidi" w:hAnsiTheme="majorBidi" w:cstheme="majorBidi"/>
          <w:sz w:val="24"/>
          <w:szCs w:val="24"/>
        </w:rPr>
        <w:t>ODD</w:t>
      </w:r>
      <w:r w:rsidR="00E65C0E" w:rsidRPr="00100519">
        <w:rPr>
          <w:rFonts w:asciiTheme="majorBidi" w:hAnsiTheme="majorBidi" w:cstheme="majorBidi"/>
          <w:sz w:val="24"/>
          <w:szCs w:val="24"/>
        </w:rPr>
        <w:t xml:space="preserve"> dans les pays en développement.</w:t>
      </w:r>
    </w:p>
    <w:p w:rsidR="005F3937" w:rsidRPr="005F6450" w:rsidRDefault="005F3937" w:rsidP="005F6450">
      <w:pPr>
        <w:pStyle w:val="whitespace-pre-wrap"/>
        <w:spacing w:line="360" w:lineRule="auto"/>
        <w:jc w:val="both"/>
        <w:rPr>
          <w:rFonts w:asciiTheme="majorBidi" w:hAnsiTheme="majorBidi" w:cstheme="majorBidi"/>
        </w:rPr>
      </w:pPr>
      <w:r w:rsidRPr="005F6450">
        <w:rPr>
          <w:rFonts w:asciiTheme="majorBidi" w:hAnsiTheme="majorBidi" w:cstheme="majorBidi"/>
        </w:rPr>
        <w:t>Cette transformation vers l'entrepreneuriat durable n'est pas simplement une option, mais une nécessité stratégique pour la Tunisie. La théorie positive de Santos fournit un cadre conceptuel robuste pour comprendre et guider cette transition. Les bénéfices environnementaux, sociaux et économiques documentés par la recherche académique démontrent la viabilité et l'urgence de cette transformation. La réalisation des ODD à travers l'entrepreneuriat durable représente ainsi une opportunité unique pour la Tunisie de construire un avenir plus résilient et équitable.</w:t>
      </w:r>
    </w:p>
    <w:p w:rsidR="006F43DC" w:rsidRPr="005F6450" w:rsidRDefault="00AA7870" w:rsidP="005F6450">
      <w:pPr>
        <w:pStyle w:val="Titre1"/>
        <w:spacing w:line="360" w:lineRule="auto"/>
        <w:jc w:val="both"/>
        <w:rPr>
          <w:rFonts w:asciiTheme="majorBidi" w:eastAsia="Times New Roman" w:hAnsiTheme="majorBidi"/>
          <w:sz w:val="24"/>
          <w:szCs w:val="24"/>
          <w:lang w:eastAsia="fr-FR"/>
        </w:rPr>
      </w:pPr>
      <w:r w:rsidRPr="005F6450">
        <w:rPr>
          <w:rFonts w:asciiTheme="majorBidi" w:eastAsia="Times New Roman" w:hAnsiTheme="majorBidi"/>
          <w:sz w:val="24"/>
          <w:szCs w:val="24"/>
          <w:lang w:eastAsia="fr-FR"/>
        </w:rPr>
        <w:t>Théorie positive de Santos (2012)</w:t>
      </w:r>
    </w:p>
    <w:p w:rsidR="00AA7870" w:rsidRPr="005F6450" w:rsidRDefault="00AA7870"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 xml:space="preserve">Bien que les acteurs de l'écosystème tunisien des entreprises déploient des efforts considérables pour contribuer à la réalisation des ODD, des défis majeurs subsistent, notamment en termes de réduction des inégalités régionales et de gestion durable des </w:t>
      </w:r>
      <w:r w:rsidRPr="005F6450">
        <w:rPr>
          <w:rFonts w:asciiTheme="majorBidi" w:eastAsia="Times New Roman" w:hAnsiTheme="majorBidi" w:cstheme="majorBidi"/>
          <w:sz w:val="24"/>
          <w:szCs w:val="24"/>
          <w:lang w:eastAsia="fr-FR"/>
        </w:rPr>
        <w:lastRenderedPageBreak/>
        <w:t xml:space="preserve">ressources naturelles. Pour y faire face de manière plus efficace, il est nécessaire d'adopter une approche stratégique intégrant les principes de la théorie positive de </w:t>
      </w:r>
      <w:r w:rsidRPr="005F6450">
        <w:rPr>
          <w:rFonts w:asciiTheme="majorBidi" w:hAnsiTheme="majorBidi" w:cstheme="majorBidi"/>
          <w:sz w:val="24"/>
          <w:szCs w:val="24"/>
          <w:shd w:val="clear" w:color="auto" w:fill="FFFFFF"/>
        </w:rPr>
        <w:t>Santos, F. M. (2012)</w:t>
      </w:r>
      <w:r w:rsidRPr="005F6450">
        <w:rPr>
          <w:rFonts w:asciiTheme="majorBidi" w:eastAsia="Times New Roman" w:hAnsiTheme="majorBidi" w:cstheme="majorBidi"/>
          <w:sz w:val="24"/>
          <w:szCs w:val="24"/>
          <w:lang w:eastAsia="fr-FR"/>
        </w:rPr>
        <w:t>.</w:t>
      </w:r>
    </w:p>
    <w:p w:rsidR="00AA7870" w:rsidRPr="005F6450" w:rsidRDefault="00AA7870"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Cette approche qui vise à identifier et à éliminer les externalités négatives générées par les activités entrepreneuriales, tout en stimulant les externalités positives. L'objectif est de convertir l'écosystème entrepreneurial existant vers un modèle d'entrepreneuriat durable via cette théorie, qui crée de la valeur économique tout en ayant un impact social et environnemental positif.</w:t>
      </w:r>
    </w:p>
    <w:p w:rsidR="00AA7870" w:rsidRPr="005F6450" w:rsidRDefault="00AA7870"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eastAsia="Times New Roman" w:hAnsiTheme="majorBidi" w:cstheme="majorBidi"/>
          <w:sz w:val="24"/>
          <w:szCs w:val="24"/>
          <w:lang w:eastAsia="fr-FR"/>
        </w:rPr>
        <w:t xml:space="preserve">Concrètement, cela se traduit par </w:t>
      </w:r>
      <w:r w:rsidRPr="005F6450">
        <w:rPr>
          <w:rFonts w:asciiTheme="majorBidi" w:hAnsiTheme="majorBidi" w:cstheme="majorBidi"/>
          <w:sz w:val="24"/>
          <w:szCs w:val="24"/>
        </w:rPr>
        <w:t xml:space="preserve">la réduction des impacts négatifs des entreprises tels que la baisse de l’émission de gaz à effet et des déchets toxiques, tout en renforçant les retombées positives en termes de création d'emplois décents, d'inclusion économique, de développement territorial équitable et de préservation environnementale, couplée à la mise en place d'incitations, de réglementations et de programmes de formation, d'accompagnement et de financement dédiés à l'entrepreneuriat durable, en étroite collaboration avec les acteurs publics, privés et de la société civile, permettra à l'écosystème entrepreneurial tunisien de mieux relever les défis liés à la réalisation des </w:t>
      </w:r>
      <w:r w:rsidR="0090767B" w:rsidRPr="005F6450">
        <w:rPr>
          <w:rFonts w:asciiTheme="majorBidi" w:hAnsiTheme="majorBidi" w:cstheme="majorBidi"/>
          <w:sz w:val="24"/>
          <w:szCs w:val="24"/>
        </w:rPr>
        <w:t>ODD</w:t>
      </w:r>
      <w:r w:rsidRPr="005F6450">
        <w:rPr>
          <w:rFonts w:asciiTheme="majorBidi" w:hAnsiTheme="majorBidi" w:cstheme="majorBidi"/>
          <w:sz w:val="24"/>
          <w:szCs w:val="24"/>
        </w:rPr>
        <w:t>, tout en contribuant à la construction d'un modèle de développement plus équitable et durable pour le pays.</w:t>
      </w:r>
    </w:p>
    <w:p w:rsidR="00AA7870" w:rsidRPr="005F6450" w:rsidRDefault="00AA7870"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C'est dans ce contexte, selon la théorie positive de Santos 2012, que les organisations caritatives et l'entrepreneuriat social jouent un rôle crucial. En puisant de l’intérêt du monde entier pour atteindre les </w:t>
      </w:r>
      <w:r w:rsidR="0058773D" w:rsidRPr="005F6450">
        <w:rPr>
          <w:rFonts w:asciiTheme="majorBidi" w:hAnsiTheme="majorBidi" w:cstheme="majorBidi"/>
        </w:rPr>
        <w:t>ODD</w:t>
      </w:r>
      <w:r w:rsidRPr="005F6450">
        <w:rPr>
          <w:rFonts w:asciiTheme="majorBidi" w:hAnsiTheme="majorBidi" w:cstheme="majorBidi"/>
        </w:rPr>
        <w:t>, ces initiatives citoyennes peuvent redistribuer des richesses, fournir des services aux populations défavorisées et apporter des solutions innovantes aux enjeux sociétaux délaissés, sensibilisant ainsi la société à leur importance.</w:t>
      </w:r>
    </w:p>
    <w:p w:rsidR="00AA7870" w:rsidRPr="005F6450" w:rsidRDefault="00AA7870" w:rsidP="005F6450">
      <w:pPr>
        <w:pStyle w:val="whitespace-pre-wrap"/>
        <w:spacing w:line="360" w:lineRule="auto"/>
        <w:jc w:val="both"/>
        <w:rPr>
          <w:rFonts w:asciiTheme="majorBidi" w:hAnsiTheme="majorBidi" w:cstheme="majorBidi"/>
        </w:rPr>
      </w:pPr>
      <w:r w:rsidRPr="005F6450">
        <w:rPr>
          <w:rFonts w:asciiTheme="majorBidi" w:hAnsiTheme="majorBidi" w:cstheme="majorBidi"/>
        </w:rPr>
        <w:t>L'entrepreneuriat social</w:t>
      </w:r>
      <w:r w:rsidR="004926E8" w:rsidRPr="005F6450">
        <w:rPr>
          <w:rFonts w:asciiTheme="majorBidi" w:hAnsiTheme="majorBidi" w:cstheme="majorBidi"/>
        </w:rPr>
        <w:t xml:space="preserve">,selon cette théorie, </w:t>
      </w:r>
      <w:r w:rsidRPr="005F6450">
        <w:rPr>
          <w:rFonts w:asciiTheme="majorBidi" w:hAnsiTheme="majorBidi" w:cstheme="majorBidi"/>
        </w:rPr>
        <w:t>constitue donc un mécanisme décentralisé ou encore la main invisible permettant de pallier les carences de l'action publique et du secteur privé traditionnel, en faisant progresser les économies vers plus d'équité et de durabilité. Son champ d'action distinct réside dans la prise en charge des problématiques sources d'externalités positives et négatives mais négligées.</w:t>
      </w:r>
    </w:p>
    <w:p w:rsidR="00AA7870" w:rsidRPr="009807CE" w:rsidRDefault="00AA7870" w:rsidP="009807CE">
      <w:pPr>
        <w:spacing w:line="360" w:lineRule="auto"/>
        <w:jc w:val="both"/>
        <w:rPr>
          <w:rFonts w:asciiTheme="majorBidi" w:hAnsiTheme="majorBidi" w:cstheme="majorBidi"/>
          <w:sz w:val="24"/>
          <w:szCs w:val="24"/>
        </w:rPr>
      </w:pPr>
      <w:r w:rsidRPr="009807CE">
        <w:rPr>
          <w:rFonts w:asciiTheme="majorBidi" w:hAnsiTheme="majorBidi" w:cstheme="majorBidi"/>
          <w:sz w:val="24"/>
          <w:szCs w:val="24"/>
        </w:rPr>
        <w:t xml:space="preserve">De ce fait, selon (Dacin et al. 2010 ; Mair et Marti 2006 ; Zahra et </w:t>
      </w:r>
      <w:r w:rsidR="00A05AFA" w:rsidRPr="009807CE">
        <w:rPr>
          <w:rFonts w:asciiTheme="majorBidi" w:hAnsiTheme="majorBidi" w:cstheme="majorBidi"/>
          <w:sz w:val="24"/>
          <w:szCs w:val="24"/>
        </w:rPr>
        <w:t>al</w:t>
      </w:r>
      <w:r w:rsidRPr="009807CE">
        <w:rPr>
          <w:rFonts w:asciiTheme="majorBidi" w:hAnsiTheme="majorBidi" w:cstheme="majorBidi"/>
          <w:sz w:val="24"/>
          <w:szCs w:val="24"/>
        </w:rPr>
        <w:t>. 2008), l’entrepreneuriat social est devenu un phénomène économique important à l’échelle mondiale.</w:t>
      </w:r>
    </w:p>
    <w:p w:rsidR="00AA7870" w:rsidRPr="009807CE" w:rsidRDefault="00AA7870" w:rsidP="009807CE">
      <w:pPr>
        <w:spacing w:line="360" w:lineRule="auto"/>
        <w:jc w:val="both"/>
        <w:rPr>
          <w:rFonts w:asciiTheme="majorBidi" w:hAnsiTheme="majorBidi" w:cstheme="majorBidi"/>
          <w:sz w:val="24"/>
          <w:szCs w:val="24"/>
        </w:rPr>
      </w:pPr>
      <w:r w:rsidRPr="009807CE">
        <w:rPr>
          <w:rFonts w:asciiTheme="majorBidi" w:hAnsiTheme="majorBidi" w:cstheme="majorBidi"/>
          <w:sz w:val="24"/>
          <w:szCs w:val="24"/>
        </w:rPr>
        <w:lastRenderedPageBreak/>
        <w:t>Bien que les politiques économiques classiques cherchent aussi à intégrer les externalités négatives liées à la dégradation de l'environnement, le développement durable vise une stabilité économique sur le long terme.</w:t>
      </w:r>
    </w:p>
    <w:p w:rsidR="00AA7870" w:rsidRPr="005F6450" w:rsidRDefault="00AA7870" w:rsidP="005F6450">
      <w:pPr>
        <w:pStyle w:val="whitespace-pre-wrap"/>
        <w:spacing w:line="360" w:lineRule="auto"/>
        <w:jc w:val="both"/>
        <w:rPr>
          <w:rFonts w:asciiTheme="majorBidi" w:hAnsiTheme="majorBidi" w:cstheme="majorBidi"/>
        </w:rPr>
      </w:pPr>
      <w:r w:rsidRPr="005F6450">
        <w:rPr>
          <w:rFonts w:asciiTheme="majorBidi" w:hAnsiTheme="majorBidi" w:cstheme="majorBidi"/>
        </w:rPr>
        <w:t>Cet objectif ne peut être atteint que par une prise en compte conjointe des enjeux économiques et sociaux tout au long du processus décisionnel.</w:t>
      </w:r>
    </w:p>
    <w:p w:rsidR="00AA7870" w:rsidRPr="005F6450" w:rsidRDefault="00AA7870" w:rsidP="005F6450">
      <w:pPr>
        <w:pStyle w:val="whitespace-pre-wrap"/>
        <w:spacing w:line="360" w:lineRule="auto"/>
        <w:jc w:val="both"/>
        <w:rPr>
          <w:rFonts w:asciiTheme="majorBidi" w:hAnsiTheme="majorBidi" w:cstheme="majorBidi"/>
        </w:rPr>
      </w:pPr>
      <w:r w:rsidRPr="005F6450">
        <w:rPr>
          <w:rFonts w:asciiTheme="majorBidi" w:hAnsiTheme="majorBidi" w:cstheme="majorBidi"/>
        </w:rPr>
        <w:t>Cependant, la préservation des ressources pour les futures générations est un élément clé qui différencie l'approche du développement durable du phénomène économique classique au sens du rapport bruntland en 1987.Bien que ce rapport n'ait initialement inclus que le facteur environnemental, le concept de "développement durable" s'est depuis élargi pour inclure la prise en compte de la dimension sociale comme étant inséparable du développement.</w:t>
      </w:r>
    </w:p>
    <w:p w:rsidR="00AA7870" w:rsidRPr="005F6450" w:rsidRDefault="00AA7870" w:rsidP="005F6450">
      <w:pPr>
        <w:spacing w:line="360" w:lineRule="auto"/>
        <w:jc w:val="both"/>
        <w:rPr>
          <w:rFonts w:asciiTheme="majorBidi" w:hAnsiTheme="majorBidi" w:cstheme="majorBidi"/>
          <w:sz w:val="24"/>
          <w:szCs w:val="24"/>
          <w:lang w:eastAsia="fr-FR"/>
        </w:rPr>
      </w:pPr>
    </w:p>
    <w:p w:rsidR="006F43DC" w:rsidRPr="005F6450" w:rsidRDefault="003C691A" w:rsidP="005F6450">
      <w:pPr>
        <w:pStyle w:val="Titre1"/>
        <w:spacing w:line="360" w:lineRule="auto"/>
        <w:jc w:val="both"/>
        <w:rPr>
          <w:rFonts w:asciiTheme="majorBidi" w:hAnsiTheme="majorBidi"/>
          <w:sz w:val="24"/>
          <w:szCs w:val="24"/>
        </w:rPr>
      </w:pPr>
      <w:r w:rsidRPr="005F6450">
        <w:rPr>
          <w:rFonts w:asciiTheme="majorBidi" w:hAnsiTheme="majorBidi"/>
          <w:sz w:val="24"/>
          <w:szCs w:val="24"/>
        </w:rPr>
        <w:t xml:space="preserve">La transition vers </w:t>
      </w:r>
      <w:r w:rsidR="00FE3E15" w:rsidRPr="005F6450">
        <w:rPr>
          <w:rFonts w:asciiTheme="majorBidi" w:hAnsiTheme="majorBidi"/>
          <w:sz w:val="24"/>
          <w:szCs w:val="24"/>
        </w:rPr>
        <w:t>l’</w:t>
      </w:r>
      <w:r w:rsidR="006F43DC" w:rsidRPr="005F6450">
        <w:rPr>
          <w:rFonts w:asciiTheme="majorBidi" w:hAnsiTheme="majorBidi"/>
          <w:sz w:val="24"/>
          <w:szCs w:val="24"/>
        </w:rPr>
        <w:t xml:space="preserve">entrepreneuriat durable </w:t>
      </w:r>
      <w:r w:rsidRPr="005F6450">
        <w:rPr>
          <w:rFonts w:asciiTheme="majorBidi" w:hAnsiTheme="majorBidi"/>
          <w:sz w:val="24"/>
          <w:szCs w:val="24"/>
        </w:rPr>
        <w:t xml:space="preserve">via </w:t>
      </w:r>
      <w:r w:rsidR="00FE3E15" w:rsidRPr="005F6450">
        <w:rPr>
          <w:rFonts w:asciiTheme="majorBidi" w:hAnsiTheme="majorBidi"/>
          <w:sz w:val="24"/>
          <w:szCs w:val="24"/>
        </w:rPr>
        <w:t xml:space="preserve">la </w:t>
      </w:r>
      <w:r w:rsidRPr="005F6450">
        <w:rPr>
          <w:rFonts w:asciiTheme="majorBidi" w:hAnsiTheme="majorBidi"/>
          <w:sz w:val="24"/>
          <w:szCs w:val="24"/>
        </w:rPr>
        <w:t>Théorie positive</w:t>
      </w:r>
    </w:p>
    <w:p w:rsidR="006F43DC" w:rsidRPr="005F6450" w:rsidRDefault="006F43DC" w:rsidP="005F6450">
      <w:pPr>
        <w:spacing w:line="360" w:lineRule="auto"/>
        <w:jc w:val="both"/>
        <w:rPr>
          <w:rFonts w:asciiTheme="majorBidi" w:hAnsiTheme="majorBidi" w:cstheme="majorBidi"/>
          <w:sz w:val="24"/>
          <w:szCs w:val="24"/>
        </w:rPr>
      </w:pP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En revanche, face aux profondes mutations et turbulences qui caractérisent l'économie mondiale actuelle, des chercheurs tels que Santos, F.M. (2012) </w:t>
      </w:r>
      <w:r w:rsidR="00990615" w:rsidRPr="005F6450">
        <w:rPr>
          <w:rFonts w:asciiTheme="majorBidi" w:hAnsiTheme="majorBidi" w:cstheme="majorBidi"/>
        </w:rPr>
        <w:t>s’interrogent sur</w:t>
      </w:r>
      <w:r w:rsidRPr="005F6450">
        <w:rPr>
          <w:rFonts w:asciiTheme="majorBidi" w:hAnsiTheme="majorBidi" w:cstheme="majorBidi"/>
        </w:rPr>
        <w:t xml:space="preserve"> la position et le rôle spécifique de l'entrepreneuriat social au sein du système économique moderne prédominé par </w:t>
      </w:r>
      <w:r w:rsidR="00990615" w:rsidRPr="005F6450">
        <w:rPr>
          <w:rFonts w:asciiTheme="majorBidi" w:hAnsiTheme="majorBidi" w:cstheme="majorBidi"/>
        </w:rPr>
        <w:t>le capitalisme</w:t>
      </w:r>
      <w:r w:rsidRPr="005F6450">
        <w:rPr>
          <w:rFonts w:asciiTheme="majorBidi" w:hAnsiTheme="majorBidi" w:cstheme="majorBidi"/>
        </w:rPr>
        <w:t xml:space="preserve"> de marché, complété par une offre variable de services publics étatiques. </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Bien que l'activité économique, toujours aux termes de santos 2012, nécessite un cadre réglementaire établi par l'État pour fonctionner, ce dernier peut manquer de moyens et de connaissances pour corriger efficacement les défaillances du marché comme les inégalités et les externalités positives et négatives. Les entreprises commerciales, focalisées sur la maximisation des profits, n'agiront pas non plus sur ces problèmes faute d'incitations.</w:t>
      </w:r>
    </w:p>
    <w:p w:rsidR="006F43DC" w:rsidRPr="005F6450" w:rsidRDefault="00990615" w:rsidP="005F6450">
      <w:pPr>
        <w:pStyle w:val="whitespace-pre-wrap"/>
        <w:spacing w:line="360" w:lineRule="auto"/>
        <w:jc w:val="both"/>
        <w:rPr>
          <w:rFonts w:asciiTheme="majorBidi" w:hAnsiTheme="majorBidi" w:cstheme="majorBidi"/>
        </w:rPr>
      </w:pPr>
      <w:r w:rsidRPr="005F6450">
        <w:rPr>
          <w:rFonts w:asciiTheme="majorBidi" w:hAnsiTheme="majorBidi" w:cstheme="majorBidi"/>
        </w:rPr>
        <w:t>Ainsi, l</w:t>
      </w:r>
      <w:r w:rsidR="006F43DC" w:rsidRPr="005F6450">
        <w:rPr>
          <w:rFonts w:asciiTheme="majorBidi" w:hAnsiTheme="majorBidi" w:cstheme="majorBidi"/>
        </w:rPr>
        <w:t xml:space="preserve">'intégration de la théorie positive </w:t>
      </w:r>
      <w:r w:rsidR="00F45FC6" w:rsidRPr="005F6450">
        <w:rPr>
          <w:rFonts w:asciiTheme="majorBidi" w:hAnsiTheme="majorBidi" w:cstheme="majorBidi"/>
        </w:rPr>
        <w:t>de l'entrepreneuriat social et l</w:t>
      </w:r>
      <w:r w:rsidR="006F43DC" w:rsidRPr="005F6450">
        <w:rPr>
          <w:rFonts w:asciiTheme="majorBidi" w:hAnsiTheme="majorBidi" w:cstheme="majorBidi"/>
        </w:rPr>
        <w:t xml:space="preserve">es principes de l'entrepreneuriat durable révèle une synergie conceptuelle fondamentale dans la compréhension des mécanismes de transformation sociale. Santos (2012) propose que la théorie positive de l'entrepreneuriat social se fonde sur la primauté de la création de valeur sur sa capture, tandis que Dean et McMullen (2007) soulignent que l'entrepreneuriat durable émerge des opportunités issues des défaillances du marché environnemental. </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lastRenderedPageBreak/>
        <w:t>En effet, Dean et McMullen (2007) identifie cinq types de défaillances du marché qui peuvent être comme sources primaires d'opportunités entrepreneuriales durables : les externalités non internalisées, les biens publics mal gérés, les monopoles inefficients, l'information imparfaite et les interventions gouvernementales inadéquates</w:t>
      </w:r>
      <w:r w:rsidR="00F45FC6" w:rsidRPr="005F6450">
        <w:rPr>
          <w:rFonts w:asciiTheme="majorBidi" w:hAnsiTheme="majorBidi" w:cstheme="majorBidi"/>
        </w:rPr>
        <w:t>.</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La convergence de ces deux approches théoriques s'articule autour d'un mécanisme central : la capacité à identifier et exploiter des opportunités négligées générant simultanément des externalités positives sociales et environnementales.</w:t>
      </w:r>
    </w:p>
    <w:p w:rsidR="006F43DC" w:rsidRPr="005F6450" w:rsidRDefault="006F43DC" w:rsidP="005F6450">
      <w:pPr>
        <w:pStyle w:val="whitespace-pre-wrap"/>
        <w:spacing w:line="360" w:lineRule="auto"/>
        <w:jc w:val="both"/>
        <w:rPr>
          <w:rFonts w:asciiTheme="majorBidi" w:hAnsiTheme="majorBidi" w:cstheme="majorBidi"/>
          <w:highlight w:val="cyan"/>
        </w:rPr>
      </w:pPr>
      <w:r w:rsidRPr="005F6450">
        <w:rPr>
          <w:rFonts w:asciiTheme="majorBidi" w:hAnsiTheme="majorBidi" w:cstheme="majorBidi"/>
        </w:rPr>
        <w:t>Cette convergence théorique s'opère à travers plusieurs mécanismes interconnectés. Premièrement, le principe d'alignement des valeurs, développé par Parrish (2010), offre une perspective novatrice sur l'entrepreneuriat durable. Au cœur de sa théorie, Parrish suggère que le succès des entreprises durables repose sur leur capacité à aligner harmonieusement les objectifs économiques, environnementaux et sociaux, plutôt que de les traiter comme des forces contradictoires. Parrish souligne que cet alignement n'est pas accidentel mais délibérément conçu dès la création de l'entreprise. C'est comme construire une maison où chaque élément soutient l'ensemble de la structure - les fondations économiques supportent les actions environnementales, qui à leur tour renforcent l'impact social, créant ainsi un cercle vertueux d'amélioration continue.</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Cette perspective rejoint directement la théorie positive de Santos concernant la prédominance de la création de valeur, créant ainsi un premier pont théorique. </w:t>
      </w:r>
    </w:p>
    <w:p w:rsidR="006F43DC" w:rsidRPr="005F6450" w:rsidRDefault="006F43DC" w:rsidP="005F6450">
      <w:pPr>
        <w:pStyle w:val="whitespace-pre-wrap"/>
        <w:spacing w:line="360" w:lineRule="auto"/>
        <w:jc w:val="both"/>
        <w:rPr>
          <w:rFonts w:asciiTheme="majorBidi" w:hAnsiTheme="majorBidi" w:cstheme="majorBidi"/>
          <w:highlight w:val="cyan"/>
        </w:rPr>
      </w:pPr>
      <w:r w:rsidRPr="005F6450">
        <w:rPr>
          <w:rFonts w:asciiTheme="majorBidi" w:hAnsiTheme="majorBidi" w:cstheme="majorBidi"/>
        </w:rPr>
        <w:t xml:space="preserve">En outre,  Schaltegger et Wagner (2011) proposent une vision clé de l'innovation durable en entrepreneuriat puisqu’ils démontrent que les entrepreneurs durables sont des innovateurs qui transforment les défis environnementaux et sociaux en opportunités commerciales viables. En effet, les auteurs soulignent que l'innovation durable émerge particulièrement dans les zones où le marché et l'État échouent simultanément, créant ainsi un espace unique où les entrepreneurs peuvent développer des solutions novatrices qui combinent </w:t>
      </w:r>
      <w:r w:rsidR="00703D6D" w:rsidRPr="005F6450">
        <w:rPr>
          <w:rFonts w:asciiTheme="majorBidi" w:hAnsiTheme="majorBidi" w:cstheme="majorBidi"/>
        </w:rPr>
        <w:t xml:space="preserve">la </w:t>
      </w:r>
      <w:r w:rsidRPr="005F6450">
        <w:rPr>
          <w:rFonts w:asciiTheme="majorBidi" w:hAnsiTheme="majorBidi" w:cstheme="majorBidi"/>
        </w:rPr>
        <w:t xml:space="preserve">rentabilité économique et </w:t>
      </w:r>
      <w:r w:rsidR="00703D6D" w:rsidRPr="005F6450">
        <w:rPr>
          <w:rFonts w:asciiTheme="majorBidi" w:hAnsiTheme="majorBidi" w:cstheme="majorBidi"/>
        </w:rPr>
        <w:t>l’</w:t>
      </w:r>
      <w:r w:rsidRPr="005F6450">
        <w:rPr>
          <w:rFonts w:asciiTheme="majorBidi" w:hAnsiTheme="majorBidi" w:cstheme="majorBidi"/>
        </w:rPr>
        <w:t xml:space="preserve">impact </w:t>
      </w:r>
      <w:r w:rsidR="00703D6D" w:rsidRPr="005F6450">
        <w:rPr>
          <w:rFonts w:asciiTheme="majorBidi" w:hAnsiTheme="majorBidi" w:cstheme="majorBidi"/>
        </w:rPr>
        <w:t xml:space="preserve">social </w:t>
      </w:r>
      <w:r w:rsidRPr="005F6450">
        <w:rPr>
          <w:rFonts w:asciiTheme="majorBidi" w:hAnsiTheme="majorBidi" w:cstheme="majorBidi"/>
        </w:rPr>
        <w:t>positif. Cette approche redéfinit l'innovation non pas comme un simple progrès technologique, mais comme un moyen de créer de la valeur durable à travers des modèles d'affaires transformatifs.</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Toutefois, la synthèse de ces approches révèle un mécanisme d'action tridimensionnel. D'abord, l'identification des opportunités négligées s'effectue à travers une analyse systémique des externalités positives non capturées, comme le suggèrent Cohen et Winn (2007). Ensuite, </w:t>
      </w:r>
      <w:r w:rsidRPr="005F6450">
        <w:rPr>
          <w:rFonts w:asciiTheme="majorBidi" w:hAnsiTheme="majorBidi" w:cstheme="majorBidi"/>
        </w:rPr>
        <w:lastRenderedPageBreak/>
        <w:t xml:space="preserve">la mobilisation des ressources s'opère via des réseaux hybrides combinant </w:t>
      </w:r>
      <w:r w:rsidR="00703D6D" w:rsidRPr="005F6450">
        <w:rPr>
          <w:rFonts w:asciiTheme="majorBidi" w:hAnsiTheme="majorBidi" w:cstheme="majorBidi"/>
        </w:rPr>
        <w:t xml:space="preserve">des </w:t>
      </w:r>
      <w:r w:rsidRPr="005F6450">
        <w:rPr>
          <w:rFonts w:asciiTheme="majorBidi" w:hAnsiTheme="majorBidi" w:cstheme="majorBidi"/>
        </w:rPr>
        <w:t>logique</w:t>
      </w:r>
      <w:r w:rsidR="00703D6D" w:rsidRPr="005F6450">
        <w:rPr>
          <w:rFonts w:asciiTheme="majorBidi" w:hAnsiTheme="majorBidi" w:cstheme="majorBidi"/>
        </w:rPr>
        <w:t xml:space="preserve">s marchandes et non marchandes, qui représente un </w:t>
      </w:r>
      <w:r w:rsidRPr="005F6450">
        <w:rPr>
          <w:rFonts w:asciiTheme="majorBidi" w:hAnsiTheme="majorBidi" w:cstheme="majorBidi"/>
        </w:rPr>
        <w:t xml:space="preserve">concept central tant dans la théorie positive que dans l'entrepreneuriat durable (Battilana et Lee, 2014). Enfin, l'innovation transformative émerge de la tension créative entre création et capture de valeur, générant </w:t>
      </w:r>
      <w:r w:rsidR="00703D6D" w:rsidRPr="005F6450">
        <w:rPr>
          <w:rFonts w:asciiTheme="majorBidi" w:hAnsiTheme="majorBidi" w:cstheme="majorBidi"/>
        </w:rPr>
        <w:t xml:space="preserve">ainsi </w:t>
      </w:r>
      <w:r w:rsidRPr="005F6450">
        <w:rPr>
          <w:rFonts w:asciiTheme="majorBidi" w:hAnsiTheme="majorBidi" w:cstheme="majorBidi"/>
        </w:rPr>
        <w:t xml:space="preserve">des solutions qui réconcilient </w:t>
      </w:r>
      <w:r w:rsidR="00703D6D" w:rsidRPr="005F6450">
        <w:rPr>
          <w:rFonts w:asciiTheme="majorBidi" w:hAnsiTheme="majorBidi" w:cstheme="majorBidi"/>
        </w:rPr>
        <w:t xml:space="preserve">la </w:t>
      </w:r>
      <w:r w:rsidRPr="005F6450">
        <w:rPr>
          <w:rFonts w:asciiTheme="majorBidi" w:hAnsiTheme="majorBidi" w:cstheme="majorBidi"/>
        </w:rPr>
        <w:t xml:space="preserve">performance économique et </w:t>
      </w:r>
      <w:r w:rsidR="00703D6D" w:rsidRPr="005F6450">
        <w:rPr>
          <w:rFonts w:asciiTheme="majorBidi" w:hAnsiTheme="majorBidi" w:cstheme="majorBidi"/>
        </w:rPr>
        <w:t>l’</w:t>
      </w:r>
      <w:r w:rsidRPr="005F6450">
        <w:rPr>
          <w:rFonts w:asciiTheme="majorBidi" w:hAnsiTheme="majorBidi" w:cstheme="majorBidi"/>
        </w:rPr>
        <w:t>impact positif.</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York et Venkataraman (2010)</w:t>
      </w:r>
      <w:r w:rsidR="00703D6D" w:rsidRPr="005F6450">
        <w:rPr>
          <w:rFonts w:asciiTheme="majorBidi" w:hAnsiTheme="majorBidi" w:cstheme="majorBidi"/>
        </w:rPr>
        <w:t>, de leurs côtés,</w:t>
      </w:r>
      <w:r w:rsidRPr="005F6450">
        <w:rPr>
          <w:rFonts w:asciiTheme="majorBidi" w:hAnsiTheme="majorBidi" w:cstheme="majorBidi"/>
        </w:rPr>
        <w:t xml:space="preserve"> soulignent que cette approche intégrée permet de dépasser la dichotomie traditionnelle entre création de valeur économique et impact</w:t>
      </w:r>
      <w:r w:rsidR="00703D6D" w:rsidRPr="005F6450">
        <w:rPr>
          <w:rFonts w:asciiTheme="majorBidi" w:hAnsiTheme="majorBidi" w:cstheme="majorBidi"/>
        </w:rPr>
        <w:t xml:space="preserve"> social</w:t>
      </w:r>
      <w:r w:rsidRPr="005F6450">
        <w:rPr>
          <w:rFonts w:asciiTheme="majorBidi" w:hAnsiTheme="majorBidi" w:cstheme="majorBidi"/>
        </w:rPr>
        <w:t>positif, créant ainsi un nouveau paradigme entrepreneurial</w:t>
      </w:r>
      <w:r w:rsidR="00703D6D" w:rsidRPr="005F6450">
        <w:rPr>
          <w:rFonts w:asciiTheme="majorBidi" w:hAnsiTheme="majorBidi" w:cstheme="majorBidi"/>
        </w:rPr>
        <w:t xml:space="preserve"> qui</w:t>
      </w:r>
      <w:r w:rsidRPr="005F6450">
        <w:rPr>
          <w:rFonts w:asciiTheme="majorBidi" w:hAnsiTheme="majorBidi" w:cstheme="majorBidi"/>
        </w:rPr>
        <w:t xml:space="preserve"> se caractérise par sa capacité à générer des solutions qui </w:t>
      </w:r>
      <w:r w:rsidR="00703D6D" w:rsidRPr="005F6450">
        <w:rPr>
          <w:rFonts w:asciiTheme="majorBidi" w:hAnsiTheme="majorBidi" w:cstheme="majorBidi"/>
        </w:rPr>
        <w:t>s’</w:t>
      </w:r>
      <w:r w:rsidRPr="005F6450">
        <w:rPr>
          <w:rFonts w:asciiTheme="majorBidi" w:hAnsiTheme="majorBidi" w:cstheme="majorBidi"/>
        </w:rPr>
        <w:t xml:space="preserve">adressent simultanément </w:t>
      </w:r>
      <w:r w:rsidR="00703D6D" w:rsidRPr="005F6450">
        <w:rPr>
          <w:rFonts w:asciiTheme="majorBidi" w:hAnsiTheme="majorBidi" w:cstheme="majorBidi"/>
        </w:rPr>
        <w:t>aux</w:t>
      </w:r>
      <w:r w:rsidRPr="005F6450">
        <w:rPr>
          <w:rFonts w:asciiTheme="majorBidi" w:hAnsiTheme="majorBidi" w:cstheme="majorBidi"/>
        </w:rPr>
        <w:t xml:space="preserve"> défis sociaux et environnementaux tout en créant des modèles économiques viables. </w:t>
      </w:r>
    </w:p>
    <w:p w:rsidR="006F43DC" w:rsidRPr="005F6450" w:rsidRDefault="006F43DC" w:rsidP="005F6450">
      <w:pPr>
        <w:pStyle w:val="whitespace-pre-wrap"/>
        <w:spacing w:line="360" w:lineRule="auto"/>
        <w:jc w:val="both"/>
        <w:rPr>
          <w:rFonts w:asciiTheme="majorBidi" w:hAnsiTheme="majorBidi" w:cstheme="majorBidi"/>
        </w:rPr>
      </w:pPr>
      <w:r w:rsidRPr="005F6450">
        <w:rPr>
          <w:rFonts w:asciiTheme="majorBidi" w:hAnsiTheme="majorBidi" w:cstheme="majorBidi"/>
        </w:rPr>
        <w:t xml:space="preserve">Les travaux de Shepherd et Patzelt (2011) confirment que cette approche intégrée permet une meilleure compréhension des mécanismes de création de valeur durable. En effet, ils considèrent </w:t>
      </w:r>
      <w:r w:rsidR="00A54556" w:rsidRPr="005F6450">
        <w:rPr>
          <w:rFonts w:asciiTheme="majorBidi" w:hAnsiTheme="majorBidi" w:cstheme="majorBidi"/>
        </w:rPr>
        <w:t xml:space="preserve">que </w:t>
      </w:r>
      <w:r w:rsidRPr="005F6450">
        <w:rPr>
          <w:rFonts w:asciiTheme="majorBidi" w:hAnsiTheme="majorBidi" w:cstheme="majorBidi"/>
        </w:rPr>
        <w:t xml:space="preserve">les entrepreneurs durables comme des architectes qui construisent </w:t>
      </w:r>
      <w:r w:rsidR="00F45FC6" w:rsidRPr="005F6450">
        <w:rPr>
          <w:rFonts w:asciiTheme="majorBidi" w:hAnsiTheme="majorBidi" w:cstheme="majorBidi"/>
        </w:rPr>
        <w:t>un pont</w:t>
      </w:r>
      <w:r w:rsidRPr="005F6450">
        <w:rPr>
          <w:rFonts w:asciiTheme="majorBidi" w:hAnsiTheme="majorBidi" w:cstheme="majorBidi"/>
        </w:rPr>
        <w:t xml:space="preserve"> en reliant d'un côté, ce qui doit être préservé (environnement, communautés, cultures) et de l'autre</w:t>
      </w:r>
      <w:r w:rsidR="00A54556" w:rsidRPr="005F6450">
        <w:rPr>
          <w:rFonts w:asciiTheme="majorBidi" w:hAnsiTheme="majorBidi" w:cstheme="majorBidi"/>
        </w:rPr>
        <w:t xml:space="preserve"> côté</w:t>
      </w:r>
      <w:r w:rsidRPr="005F6450">
        <w:rPr>
          <w:rFonts w:asciiTheme="majorBidi" w:hAnsiTheme="majorBidi" w:cstheme="majorBidi"/>
        </w:rPr>
        <w:t>, ce qui doit être développé (gains économiques, avancées sociales) tout en créant des solutions qui connectent harmonieusement ces deux dimensions.</w:t>
      </w:r>
    </w:p>
    <w:p w:rsidR="006F43DC" w:rsidRPr="005F6450" w:rsidRDefault="003936E9" w:rsidP="005F6450">
      <w:pPr>
        <w:pStyle w:val="whitespace-pre-wrap"/>
        <w:spacing w:line="360" w:lineRule="auto"/>
        <w:jc w:val="both"/>
        <w:rPr>
          <w:rFonts w:asciiTheme="majorBidi" w:hAnsiTheme="majorBidi" w:cstheme="majorBidi"/>
        </w:rPr>
      </w:pPr>
      <w:r w:rsidRPr="005F6450">
        <w:rPr>
          <w:rFonts w:asciiTheme="majorBidi" w:hAnsiTheme="majorBidi" w:cstheme="majorBidi"/>
        </w:rPr>
        <w:t>En fait, l</w:t>
      </w:r>
      <w:r w:rsidR="006F43DC" w:rsidRPr="005F6450">
        <w:rPr>
          <w:rFonts w:asciiTheme="majorBidi" w:hAnsiTheme="majorBidi" w:cstheme="majorBidi"/>
        </w:rPr>
        <w:t>'émergence de ce cadre théorique unifié a des implications significatives tant pour la recherche que pour la pratique. Pour les chercheurs, il offre un cadre d'analyse permettant de mieux comprendre les mécanismes de création de valeur durable et leurs conditions de succès. Pour les praticiens, il fournit des outils conceptuels permettant de concevoir et mettre en œuvre des solutions entrepreneuriales plus efficaces et plus durables. Smith et al. (2013) suggèrent que cette approche intégrée permet également de mieux appréhender les tensions inhérentes à la poursuite simultanée d'objectifs sociaux, environnementaux et économiques.</w:t>
      </w:r>
    </w:p>
    <w:p w:rsidR="0009226D" w:rsidRPr="005F6450" w:rsidRDefault="0009226D" w:rsidP="005F6450">
      <w:pPr>
        <w:pStyle w:val="whitespace-pre-wrap"/>
        <w:spacing w:line="360" w:lineRule="auto"/>
        <w:jc w:val="both"/>
        <w:rPr>
          <w:rFonts w:asciiTheme="majorBidi" w:hAnsiTheme="majorBidi" w:cstheme="majorBidi"/>
        </w:rPr>
      </w:pPr>
    </w:p>
    <w:p w:rsidR="0009226D" w:rsidRPr="005F6450" w:rsidRDefault="005F6450" w:rsidP="005F6450">
      <w:pPr>
        <w:pStyle w:val="Titre1"/>
        <w:rPr>
          <w:sz w:val="24"/>
          <w:szCs w:val="24"/>
        </w:rPr>
      </w:pPr>
      <w:r>
        <w:t>Conclusion</w:t>
      </w:r>
    </w:p>
    <w:p w:rsidR="0009226D" w:rsidRPr="0009226D" w:rsidRDefault="0009226D"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09226D">
        <w:rPr>
          <w:rFonts w:asciiTheme="majorBidi" w:eastAsia="Times New Roman" w:hAnsiTheme="majorBidi" w:cstheme="majorBidi"/>
          <w:sz w:val="24"/>
          <w:szCs w:val="24"/>
          <w:lang w:eastAsia="fr-FR"/>
        </w:rPr>
        <w:t>La transition vers l'entrepreneuriat durable en Tunisie représente un défi complexe mais prometteur, à la croisée des enjeux sociaux, économiques et environnementaux. L'analyse menée à travers la théorie positive de Santos (2012) offre un cadre interprétatif novateur pour comprendre les dynamiques de transformation de l'écosystème entrepreneurial tunisien.</w:t>
      </w:r>
    </w:p>
    <w:p w:rsidR="0009226D" w:rsidRPr="005F6450" w:rsidRDefault="0009226D" w:rsidP="007E646D">
      <w:pPr>
        <w:spacing w:before="100" w:beforeAutospacing="1" w:after="100" w:afterAutospacing="1" w:line="360" w:lineRule="auto"/>
        <w:jc w:val="both"/>
        <w:rPr>
          <w:rFonts w:asciiTheme="majorBidi" w:eastAsia="Times New Roman" w:hAnsiTheme="majorBidi" w:cstheme="majorBidi"/>
          <w:sz w:val="24"/>
          <w:szCs w:val="24"/>
          <w:lang w:eastAsia="fr-FR"/>
        </w:rPr>
      </w:pPr>
      <w:r w:rsidRPr="0009226D">
        <w:rPr>
          <w:rFonts w:asciiTheme="majorBidi" w:eastAsia="Times New Roman" w:hAnsiTheme="majorBidi" w:cstheme="majorBidi"/>
          <w:sz w:val="24"/>
          <w:szCs w:val="24"/>
          <w:lang w:eastAsia="fr-FR"/>
        </w:rPr>
        <w:lastRenderedPageBreak/>
        <w:t xml:space="preserve">Notre étude met en lumière l'engagement significatif de la Tunisie envers les </w:t>
      </w:r>
      <w:r w:rsidR="007E646D">
        <w:rPr>
          <w:rFonts w:asciiTheme="majorBidi" w:eastAsia="Times New Roman" w:hAnsiTheme="majorBidi" w:cstheme="majorBidi"/>
          <w:sz w:val="24"/>
          <w:szCs w:val="24"/>
          <w:lang w:eastAsia="fr-FR"/>
        </w:rPr>
        <w:t>ODD,</w:t>
      </w:r>
      <w:r w:rsidRPr="0009226D">
        <w:rPr>
          <w:rFonts w:asciiTheme="majorBidi" w:eastAsia="Times New Roman" w:hAnsiTheme="majorBidi" w:cstheme="majorBidi"/>
          <w:sz w:val="24"/>
          <w:szCs w:val="24"/>
          <w:lang w:eastAsia="fr-FR"/>
        </w:rPr>
        <w:t xml:space="preserve"> tout en soulignant la nécessité impérieuse de développer des stratégies intégratives et inclusives. La théorie positive de l'entrepreneuriat social apparaît comme un levier stratégique permettant de repenser les modèles traditionnels de développement et d'innovation.</w:t>
      </w:r>
    </w:p>
    <w:p w:rsidR="005F6450" w:rsidRPr="005F6450" w:rsidRDefault="005F6450"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eastAsia="Times New Roman" w:hAnsiTheme="majorBidi" w:cstheme="majorBidi"/>
          <w:sz w:val="24"/>
          <w:szCs w:val="24"/>
          <w:lang w:eastAsia="fr-FR"/>
        </w:rPr>
        <w:t xml:space="preserve">En effet, </w:t>
      </w:r>
      <w:r w:rsidRPr="00A4530B">
        <w:rPr>
          <w:rFonts w:asciiTheme="majorBidi" w:hAnsiTheme="majorBidi" w:cstheme="majorBidi"/>
          <w:sz w:val="24"/>
          <w:szCs w:val="24"/>
        </w:rPr>
        <w:t>Cette synthèse théorique non seulement enrichit notre compréhension des mécanismes de transformation sociale et environnementale, mais aussi elle fournit également des outils pratiques pour les entrepreneurs qui cherchent à créer un changement positif systémique</w:t>
      </w:r>
      <w:r w:rsidRPr="005F6450">
        <w:rPr>
          <w:rFonts w:asciiTheme="majorBidi" w:hAnsiTheme="majorBidi" w:cstheme="majorBidi"/>
          <w:sz w:val="24"/>
          <w:szCs w:val="24"/>
        </w:rPr>
        <w:t>.</w:t>
      </w:r>
    </w:p>
    <w:p w:rsidR="005F6450" w:rsidRPr="005F6450" w:rsidRDefault="005F6450" w:rsidP="005F6450">
      <w:pPr>
        <w:spacing w:before="100" w:beforeAutospacing="1" w:after="100" w:afterAutospacing="1" w:line="360" w:lineRule="auto"/>
        <w:jc w:val="both"/>
        <w:rPr>
          <w:rFonts w:asciiTheme="majorBidi" w:hAnsiTheme="majorBidi" w:cstheme="majorBidi"/>
          <w:sz w:val="24"/>
          <w:szCs w:val="24"/>
        </w:rPr>
      </w:pPr>
      <w:r w:rsidRPr="005F6450">
        <w:rPr>
          <w:rFonts w:asciiTheme="majorBidi" w:hAnsiTheme="majorBidi" w:cstheme="majorBidi"/>
          <w:sz w:val="24"/>
          <w:szCs w:val="24"/>
        </w:rPr>
        <w:t xml:space="preserve">C’est pour cela, que chercheurs tel que (Acs et al. 2013), accordent </w:t>
      </w:r>
      <w:r w:rsidR="00A4530B" w:rsidRPr="005F6450">
        <w:rPr>
          <w:rFonts w:asciiTheme="majorBidi" w:hAnsiTheme="majorBidi" w:cstheme="majorBidi"/>
          <w:sz w:val="24"/>
          <w:szCs w:val="24"/>
        </w:rPr>
        <w:t>une attention</w:t>
      </w:r>
      <w:r w:rsidRPr="005F6450">
        <w:rPr>
          <w:rFonts w:asciiTheme="majorBidi" w:hAnsiTheme="majorBidi" w:cstheme="majorBidi"/>
          <w:sz w:val="24"/>
          <w:szCs w:val="24"/>
        </w:rPr>
        <w:t xml:space="preserve"> particulière non seulement aux acteurs économiques qui cherchent la capture de valeur mais aussi aux entrepreneurs sociaux, dont l'impact sociétal ne saurait être négligé </w:t>
      </w:r>
    </w:p>
    <w:p w:rsidR="005F6450" w:rsidRPr="0009226D" w:rsidRDefault="00A4530B" w:rsidP="001F7E6C">
      <w:pPr>
        <w:pStyle w:val="whitespace-pre-wrap"/>
        <w:spacing w:line="360" w:lineRule="auto"/>
        <w:jc w:val="both"/>
        <w:rPr>
          <w:rFonts w:asciiTheme="majorBidi" w:hAnsiTheme="majorBidi" w:cstheme="majorBidi"/>
        </w:rPr>
      </w:pPr>
      <w:r w:rsidRPr="005F6450">
        <w:rPr>
          <w:rFonts w:asciiTheme="majorBidi" w:hAnsiTheme="majorBidi" w:cstheme="majorBidi"/>
        </w:rPr>
        <w:t>Cependant</w:t>
      </w:r>
      <w:r w:rsidR="005F6450" w:rsidRPr="005F6450">
        <w:rPr>
          <w:rFonts w:asciiTheme="majorBidi" w:hAnsiTheme="majorBidi" w:cstheme="majorBidi"/>
        </w:rPr>
        <w:t xml:space="preserve">, les ODD ne seront pas atteint à moins que les objectifs sociaux ne soient pris en compte dans tout plan futur de développement durable </w:t>
      </w:r>
      <w:r w:rsidR="005F6450" w:rsidRPr="001F7E6C">
        <w:rPr>
          <w:rFonts w:asciiTheme="majorBidi" w:hAnsiTheme="majorBidi" w:cstheme="majorBidi"/>
        </w:rPr>
        <w:t>(</w:t>
      </w:r>
      <w:r w:rsidR="001F7E6C" w:rsidRPr="001F7E6C">
        <w:rPr>
          <w:rFonts w:asciiTheme="majorBidi" w:hAnsiTheme="majorBidi" w:cstheme="majorBidi"/>
          <w:shd w:val="clear" w:color="auto" w:fill="FFFFFF"/>
        </w:rPr>
        <w:t>Pogge et al. 2015</w:t>
      </w:r>
      <w:r w:rsidR="005F6450" w:rsidRPr="001F7E6C">
        <w:rPr>
          <w:rFonts w:asciiTheme="majorBidi" w:hAnsiTheme="majorBidi" w:cstheme="majorBidi"/>
        </w:rPr>
        <w:t>).</w:t>
      </w:r>
    </w:p>
    <w:p w:rsidR="0009226D" w:rsidRPr="0009226D" w:rsidRDefault="005F6450" w:rsidP="005F6450">
      <w:pPr>
        <w:spacing w:before="100" w:beforeAutospacing="1" w:after="100" w:afterAutospacing="1" w:line="360" w:lineRule="auto"/>
        <w:jc w:val="both"/>
        <w:rPr>
          <w:rFonts w:asciiTheme="majorBidi" w:eastAsia="Times New Roman" w:hAnsiTheme="majorBidi" w:cstheme="majorBidi"/>
          <w:sz w:val="24"/>
          <w:szCs w:val="24"/>
          <w:lang w:eastAsia="fr-FR"/>
        </w:rPr>
      </w:pPr>
      <w:r w:rsidRPr="005F6450">
        <w:rPr>
          <w:rFonts w:asciiTheme="majorBidi" w:eastAsia="Times New Roman" w:hAnsiTheme="majorBidi" w:cstheme="majorBidi"/>
          <w:sz w:val="24"/>
          <w:szCs w:val="24"/>
          <w:lang w:eastAsia="fr-FR"/>
        </w:rPr>
        <w:t>De ce fait, on souligne que l</w:t>
      </w:r>
      <w:r w:rsidR="0009226D" w:rsidRPr="0009226D">
        <w:rPr>
          <w:rFonts w:asciiTheme="majorBidi" w:eastAsia="Times New Roman" w:hAnsiTheme="majorBidi" w:cstheme="majorBidi"/>
          <w:sz w:val="24"/>
          <w:szCs w:val="24"/>
          <w:lang w:eastAsia="fr-FR"/>
        </w:rPr>
        <w:t>es perspectives de recherche futures orienteront nos travaux vers l'analyse approfondie de la perception et des capacités des entrepreneurs sociaux tunisiens à relever concrètement les défis sociétaux identifiés dans l'Agenda 2030. Cette démarche permettra d'affiner les politiques de soutien et de co-construire un modèle d'entrepreneuriat durable véritablement adapté au contexte national.</w:t>
      </w:r>
    </w:p>
    <w:p w:rsidR="005F6450" w:rsidRDefault="005F6450" w:rsidP="005F6450">
      <w:pPr>
        <w:pStyle w:val="whitespace-pre-wrap"/>
        <w:spacing w:line="360" w:lineRule="auto"/>
        <w:jc w:val="both"/>
        <w:rPr>
          <w:rFonts w:asciiTheme="majorBidi" w:hAnsiTheme="majorBidi" w:cstheme="majorBidi"/>
          <w:sz w:val="28"/>
          <w:szCs w:val="28"/>
        </w:rPr>
      </w:pPr>
    </w:p>
    <w:p w:rsidR="004052F0" w:rsidRDefault="004052F0" w:rsidP="005F6450">
      <w:pPr>
        <w:pStyle w:val="whitespace-pre-wrap"/>
        <w:spacing w:line="360" w:lineRule="auto"/>
        <w:jc w:val="both"/>
        <w:rPr>
          <w:rFonts w:asciiTheme="majorBidi" w:hAnsiTheme="majorBidi" w:cstheme="majorBidi"/>
          <w:sz w:val="28"/>
          <w:szCs w:val="28"/>
        </w:rPr>
      </w:pPr>
    </w:p>
    <w:p w:rsidR="004052F0" w:rsidRDefault="004052F0" w:rsidP="005F6450">
      <w:pPr>
        <w:pStyle w:val="whitespace-pre-wrap"/>
        <w:spacing w:line="360" w:lineRule="auto"/>
        <w:jc w:val="both"/>
        <w:rPr>
          <w:rFonts w:asciiTheme="majorBidi" w:hAnsiTheme="majorBidi" w:cstheme="majorBidi"/>
          <w:sz w:val="28"/>
          <w:szCs w:val="28"/>
        </w:rPr>
      </w:pPr>
    </w:p>
    <w:p w:rsidR="004052F0" w:rsidRDefault="004052F0" w:rsidP="005F6450">
      <w:pPr>
        <w:pStyle w:val="whitespace-pre-wrap"/>
        <w:spacing w:line="360" w:lineRule="auto"/>
        <w:jc w:val="both"/>
        <w:rPr>
          <w:rFonts w:asciiTheme="majorBidi" w:hAnsiTheme="majorBidi" w:cstheme="majorBidi"/>
          <w:sz w:val="28"/>
          <w:szCs w:val="28"/>
        </w:rPr>
      </w:pPr>
    </w:p>
    <w:p w:rsidR="004052F0" w:rsidRDefault="004052F0" w:rsidP="005F6450">
      <w:pPr>
        <w:pStyle w:val="whitespace-pre-wrap"/>
        <w:spacing w:line="360" w:lineRule="auto"/>
        <w:jc w:val="both"/>
        <w:rPr>
          <w:rFonts w:asciiTheme="majorBidi" w:hAnsiTheme="majorBidi" w:cstheme="majorBidi"/>
          <w:sz w:val="28"/>
          <w:szCs w:val="28"/>
        </w:rPr>
      </w:pPr>
    </w:p>
    <w:p w:rsidR="004052F0" w:rsidRDefault="004052F0" w:rsidP="005F6450">
      <w:pPr>
        <w:pStyle w:val="whitespace-pre-wrap"/>
        <w:spacing w:line="360" w:lineRule="auto"/>
        <w:jc w:val="both"/>
        <w:rPr>
          <w:rFonts w:asciiTheme="majorBidi" w:hAnsiTheme="majorBidi" w:cstheme="majorBidi"/>
          <w:sz w:val="28"/>
          <w:szCs w:val="28"/>
        </w:rPr>
      </w:pPr>
    </w:p>
    <w:p w:rsidR="004052F0" w:rsidRDefault="004052F0" w:rsidP="005F6450">
      <w:pPr>
        <w:pStyle w:val="whitespace-pre-wrap"/>
        <w:spacing w:line="360" w:lineRule="auto"/>
        <w:jc w:val="both"/>
        <w:rPr>
          <w:rFonts w:asciiTheme="majorBidi" w:hAnsiTheme="majorBidi" w:cstheme="majorBidi"/>
          <w:sz w:val="28"/>
          <w:szCs w:val="28"/>
        </w:rPr>
      </w:pPr>
    </w:p>
    <w:p w:rsidR="004052F0" w:rsidRDefault="004052F0" w:rsidP="005C7151">
      <w:pPr>
        <w:pStyle w:val="Titre1"/>
      </w:pPr>
      <w:r>
        <w:lastRenderedPageBreak/>
        <w:t>Sites web :</w:t>
      </w:r>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8" w:history="1">
        <w:r w:rsidR="004052F0" w:rsidRPr="004052F0">
          <w:rPr>
            <w:rStyle w:val="Lienhypertexte"/>
            <w:rFonts w:asciiTheme="majorBidi" w:hAnsiTheme="majorBidi" w:cstheme="majorBidi"/>
            <w:color w:val="auto"/>
            <w:sz w:val="24"/>
            <w:szCs w:val="24"/>
          </w:rPr>
          <w:t>https://documents.un.org/doc/undoc/gen/n15/291/90/pdf/n1529190.pdf</w:t>
        </w:r>
      </w:hyperlink>
    </w:p>
    <w:p w:rsidR="004052F0" w:rsidRPr="004052F0" w:rsidRDefault="00855EBE" w:rsidP="004052F0">
      <w:pPr>
        <w:pStyle w:val="Paragraphedeliste"/>
        <w:numPr>
          <w:ilvl w:val="0"/>
          <w:numId w:val="7"/>
        </w:numPr>
        <w:spacing w:line="360" w:lineRule="auto"/>
        <w:jc w:val="both"/>
        <w:rPr>
          <w:rStyle w:val="Lienhypertexte"/>
          <w:rFonts w:asciiTheme="majorBidi" w:hAnsiTheme="majorBidi" w:cstheme="majorBidi"/>
          <w:color w:val="auto"/>
          <w:sz w:val="24"/>
          <w:szCs w:val="24"/>
        </w:rPr>
      </w:pPr>
      <w:hyperlink r:id="rId9" w:history="1">
        <w:r w:rsidR="004052F0" w:rsidRPr="004052F0">
          <w:rPr>
            <w:rStyle w:val="Lienhypertexte"/>
            <w:rFonts w:asciiTheme="majorBidi" w:hAnsiTheme="majorBidi" w:cstheme="majorBidi"/>
            <w:color w:val="auto"/>
            <w:sz w:val="24"/>
            <w:szCs w:val="24"/>
          </w:rPr>
          <w:t>https://www.environnement.gov.tn/developpement-durable/dossiers-planetaires-du-developpement-durable/les-objectifs-de-developpement-durable-odd</w:t>
        </w:r>
      </w:hyperlink>
    </w:p>
    <w:p w:rsidR="004052F0" w:rsidRPr="004052F0" w:rsidRDefault="00855EBE" w:rsidP="004052F0">
      <w:pPr>
        <w:pStyle w:val="Paragraphedeliste"/>
        <w:numPr>
          <w:ilvl w:val="0"/>
          <w:numId w:val="7"/>
        </w:numPr>
        <w:spacing w:line="360" w:lineRule="auto"/>
        <w:jc w:val="both"/>
        <w:rPr>
          <w:rStyle w:val="Lienhypertexte"/>
          <w:rFonts w:asciiTheme="majorBidi" w:hAnsiTheme="majorBidi" w:cstheme="majorBidi"/>
          <w:color w:val="auto"/>
          <w:sz w:val="24"/>
          <w:szCs w:val="24"/>
        </w:rPr>
      </w:pPr>
      <w:hyperlink r:id="rId10" w:history="1">
        <w:r w:rsidR="004052F0" w:rsidRPr="004052F0">
          <w:rPr>
            <w:rStyle w:val="Lienhypertexte"/>
            <w:rFonts w:asciiTheme="majorBidi" w:hAnsiTheme="majorBidi" w:cstheme="majorBidi"/>
            <w:color w:val="auto"/>
            <w:sz w:val="24"/>
            <w:szCs w:val="24"/>
          </w:rPr>
          <w:t>https://sdgcompass.org/wp-content/uploads/2016/09/SDG_Compass_Guide_France.pdf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1" w:history="1">
        <w:r w:rsidR="004052F0" w:rsidRPr="004052F0">
          <w:rPr>
            <w:rStyle w:val="Lienhypertexte"/>
            <w:rFonts w:asciiTheme="majorBidi" w:hAnsiTheme="majorBidi" w:cstheme="majorBidi"/>
            <w:color w:val="auto"/>
            <w:sz w:val="24"/>
            <w:szCs w:val="24"/>
          </w:rPr>
          <w:t>http://www.gbo.tn/sites/default/files/2021-09/brochure-ODD-TN%20%281%29.pdf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2" w:history="1">
        <w:r w:rsidR="004052F0" w:rsidRPr="004052F0">
          <w:rPr>
            <w:rStyle w:val="Lienhypertexte"/>
            <w:rFonts w:asciiTheme="majorBidi" w:hAnsiTheme="majorBidi" w:cstheme="majorBidi"/>
            <w:color w:val="auto"/>
            <w:sz w:val="24"/>
            <w:szCs w:val="24"/>
          </w:rPr>
          <w:t>https://dashboards.sdgindex.org/profiles/tunisia</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3" w:history="1">
        <w:r w:rsidR="004052F0" w:rsidRPr="004052F0">
          <w:rPr>
            <w:rStyle w:val="Lienhypertexte"/>
            <w:rFonts w:asciiTheme="majorBidi" w:hAnsiTheme="majorBidi" w:cstheme="majorBidi"/>
            <w:color w:val="auto"/>
            <w:sz w:val="24"/>
            <w:szCs w:val="24"/>
          </w:rPr>
          <w:t>https://s3.amazonaws.com/sustainabledevelopment.report/2024/sustainable-development-report-2024.pdf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4" w:history="1">
        <w:r w:rsidR="004052F0" w:rsidRPr="004052F0">
          <w:rPr>
            <w:rStyle w:val="Lienhypertexte"/>
            <w:rFonts w:asciiTheme="majorBidi" w:hAnsiTheme="majorBidi" w:cstheme="majorBidi"/>
            <w:color w:val="auto"/>
            <w:sz w:val="24"/>
            <w:szCs w:val="24"/>
          </w:rPr>
          <w:t>https://www.ins.tn/publication/indicateurs-de-lemploi-et-du-chomage-deuxieme-trimestre-2023</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5" w:history="1">
        <w:r w:rsidR="004052F0" w:rsidRPr="004052F0">
          <w:rPr>
            <w:rStyle w:val="Lienhypertexte"/>
            <w:rFonts w:asciiTheme="majorBidi" w:hAnsiTheme="majorBidi" w:cstheme="majorBidi"/>
            <w:color w:val="auto"/>
            <w:sz w:val="24"/>
            <w:szCs w:val="24"/>
          </w:rPr>
          <w:t>https://www.ins.tn/statistiques/110</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6" w:history="1">
        <w:r w:rsidR="004052F0" w:rsidRPr="004052F0">
          <w:rPr>
            <w:rStyle w:val="Lienhypertexte"/>
            <w:rFonts w:asciiTheme="majorBidi" w:hAnsiTheme="majorBidi" w:cstheme="majorBidi"/>
            <w:color w:val="auto"/>
            <w:sz w:val="24"/>
            <w:szCs w:val="24"/>
          </w:rPr>
          <w:t>https://www.unicef.org/tunisia/media/6441/file/Re%CC%81sume%CC%81-exe%CC%81cutif-analyse-sectorielle.pdf</w:t>
        </w:r>
      </w:hyperlink>
    </w:p>
    <w:p w:rsidR="004052F0" w:rsidRPr="004052F0" w:rsidRDefault="00855EBE" w:rsidP="004052F0">
      <w:pPr>
        <w:pStyle w:val="Paragraphedeliste"/>
        <w:numPr>
          <w:ilvl w:val="0"/>
          <w:numId w:val="7"/>
        </w:numPr>
        <w:spacing w:line="360" w:lineRule="auto"/>
        <w:jc w:val="both"/>
        <w:rPr>
          <w:rFonts w:asciiTheme="majorBidi" w:hAnsiTheme="majorBidi" w:cstheme="majorBidi"/>
          <w:sz w:val="24"/>
          <w:szCs w:val="24"/>
        </w:rPr>
      </w:pPr>
      <w:hyperlink r:id="rId17" w:history="1">
        <w:r w:rsidR="004052F0" w:rsidRPr="004052F0">
          <w:rPr>
            <w:rStyle w:val="Lienhypertexte"/>
            <w:rFonts w:asciiTheme="majorBidi" w:hAnsiTheme="majorBidi" w:cstheme="majorBidi"/>
            <w:color w:val="auto"/>
            <w:sz w:val="24"/>
            <w:szCs w:val="24"/>
          </w:rPr>
          <w:t>https://tunisia.un.org/fr/sdgs</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8" w:history="1">
        <w:r w:rsidR="004052F0" w:rsidRPr="004052F0">
          <w:rPr>
            <w:rStyle w:val="Lienhypertexte"/>
            <w:rFonts w:asciiTheme="majorBidi" w:hAnsiTheme="majorBidi" w:cstheme="majorBidi"/>
            <w:color w:val="auto"/>
            <w:sz w:val="24"/>
            <w:szCs w:val="24"/>
          </w:rPr>
          <w:t>https://dashboards.sdgindex.org/profiles/tunisia</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19" w:history="1">
        <w:r w:rsidR="004052F0" w:rsidRPr="004052F0">
          <w:rPr>
            <w:rStyle w:val="Lienhypertexte"/>
            <w:rFonts w:asciiTheme="majorBidi" w:hAnsiTheme="majorBidi" w:cstheme="majorBidi"/>
            <w:color w:val="auto"/>
            <w:sz w:val="24"/>
            <w:szCs w:val="24"/>
          </w:rPr>
          <w:t>https://tunisia.un.org/sites/default/files/2021-09/VNR_Report_Tunisia%202021.pdf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0" w:history="1">
        <w:r w:rsidR="004052F0" w:rsidRPr="004052F0">
          <w:rPr>
            <w:rStyle w:val="Lienhypertexte"/>
            <w:rFonts w:asciiTheme="majorBidi" w:hAnsiTheme="majorBidi" w:cstheme="majorBidi"/>
            <w:color w:val="auto"/>
            <w:sz w:val="24"/>
            <w:szCs w:val="24"/>
          </w:rPr>
          <w:t>https://www.environnement.gov.tn/developpement-durable/la-concretisation-juridique-et-institutionnelle-du-developpement-durable/commission-nationale-du-developpement-durable-cndd</w:t>
        </w:r>
      </w:hyperlink>
    </w:p>
    <w:p w:rsidR="004052F0" w:rsidRPr="004052F0" w:rsidRDefault="004052F0" w:rsidP="004052F0">
      <w:pPr>
        <w:pStyle w:val="Notedebasdepage"/>
        <w:spacing w:line="360" w:lineRule="auto"/>
        <w:jc w:val="both"/>
        <w:rPr>
          <w:rFonts w:asciiTheme="majorBidi" w:hAnsiTheme="majorBidi" w:cstheme="majorBidi"/>
          <w:sz w:val="24"/>
          <w:szCs w:val="24"/>
        </w:rPr>
      </w:pPr>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1" w:history="1">
        <w:r w:rsidR="004052F0" w:rsidRPr="004052F0">
          <w:rPr>
            <w:rStyle w:val="Lienhypertexte"/>
            <w:rFonts w:asciiTheme="majorBidi" w:hAnsiTheme="majorBidi" w:cstheme="majorBidi"/>
            <w:color w:val="auto"/>
            <w:sz w:val="24"/>
            <w:szCs w:val="24"/>
          </w:rPr>
          <w:t>https://tunisia.un.org/sites/default/files/2021-09/VNR_Report_Tunisia%202021.pdf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2" w:history="1">
        <w:r w:rsidR="004052F0" w:rsidRPr="004052F0">
          <w:rPr>
            <w:rStyle w:val="Lienhypertexte"/>
            <w:rFonts w:asciiTheme="majorBidi" w:hAnsiTheme="majorBidi" w:cstheme="majorBidi"/>
            <w:color w:val="auto"/>
            <w:sz w:val="24"/>
            <w:szCs w:val="24"/>
          </w:rPr>
          <w:t>https://www.ilo.org/publications/programme-par-pays-pour-la-promotion-du-travail-decent-2017-2022-de-la</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3" w:history="1">
        <w:r w:rsidR="004052F0" w:rsidRPr="004052F0">
          <w:rPr>
            <w:rStyle w:val="Lienhypertexte"/>
            <w:rFonts w:asciiTheme="majorBidi" w:hAnsiTheme="majorBidi" w:cstheme="majorBidi"/>
            <w:color w:val="auto"/>
            <w:sz w:val="24"/>
            <w:szCs w:val="24"/>
          </w:rPr>
          <w:t>https://www.ilo.org/fr/projects-and-partnerships/projects/des-emplois-decents-pour-les-jeunes-et-les-femmes-une-approche-du</w:t>
        </w:r>
      </w:hyperlink>
    </w:p>
    <w:p w:rsidR="004052F0" w:rsidRPr="004052F0" w:rsidRDefault="004052F0" w:rsidP="004052F0">
      <w:pPr>
        <w:pStyle w:val="Notedebasdepage"/>
        <w:spacing w:line="360" w:lineRule="auto"/>
        <w:jc w:val="both"/>
        <w:rPr>
          <w:rFonts w:asciiTheme="majorBidi" w:hAnsiTheme="majorBidi" w:cstheme="majorBidi"/>
          <w:sz w:val="24"/>
          <w:szCs w:val="24"/>
        </w:rPr>
      </w:pPr>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4" w:history="1">
        <w:r w:rsidR="004052F0" w:rsidRPr="004052F0">
          <w:rPr>
            <w:rStyle w:val="Lienhypertexte"/>
            <w:rFonts w:asciiTheme="majorBidi" w:hAnsiTheme="majorBidi" w:cstheme="majorBidi"/>
            <w:color w:val="auto"/>
            <w:sz w:val="24"/>
            <w:szCs w:val="24"/>
          </w:rPr>
          <w:t>https://chaireterres.hypotheses.org/files/2024/03/Tunisie.pdf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5" w:history="1">
        <w:r w:rsidR="004052F0" w:rsidRPr="004052F0">
          <w:rPr>
            <w:rStyle w:val="Lienhypertexte"/>
            <w:rFonts w:asciiTheme="majorBidi" w:hAnsiTheme="majorBidi" w:cstheme="majorBidi"/>
            <w:color w:val="auto"/>
            <w:sz w:val="24"/>
            <w:szCs w:val="24"/>
          </w:rPr>
          <w:t>http://www.gbo.tn/sites/default/files/2024-06/Note%20d%27orientation%20BSCCfr.pdf</w:t>
        </w:r>
      </w:hyperlink>
    </w:p>
    <w:p w:rsidR="004052F0" w:rsidRPr="004052F0" w:rsidRDefault="00855EBE" w:rsidP="004052F0">
      <w:pPr>
        <w:pStyle w:val="Notedebasdepage"/>
        <w:numPr>
          <w:ilvl w:val="0"/>
          <w:numId w:val="7"/>
        </w:numPr>
        <w:spacing w:line="360" w:lineRule="auto"/>
        <w:jc w:val="both"/>
        <w:rPr>
          <w:rFonts w:asciiTheme="majorBidi" w:hAnsiTheme="majorBidi" w:cstheme="majorBidi"/>
          <w:sz w:val="24"/>
          <w:szCs w:val="24"/>
        </w:rPr>
      </w:pPr>
      <w:hyperlink r:id="rId26" w:history="1">
        <w:r w:rsidR="004052F0" w:rsidRPr="004052F0">
          <w:rPr>
            <w:rStyle w:val="Lienhypertexte"/>
            <w:rFonts w:asciiTheme="majorBidi" w:hAnsiTheme="majorBidi" w:cstheme="majorBidi"/>
            <w:color w:val="auto"/>
            <w:sz w:val="24"/>
            <w:szCs w:val="24"/>
          </w:rPr>
          <w:t>https://www.ilo.org/fr/media/341871/download</w:t>
        </w:r>
      </w:hyperlink>
    </w:p>
    <w:p w:rsidR="004052F0" w:rsidRDefault="004052F0" w:rsidP="004052F0"/>
    <w:p w:rsidR="004052F0" w:rsidRPr="004052F0" w:rsidRDefault="004052F0" w:rsidP="004052F0"/>
    <w:p w:rsidR="0064740C" w:rsidRDefault="0064740C" w:rsidP="0064740C">
      <w:pPr>
        <w:pStyle w:val="Titre1"/>
      </w:pPr>
      <w:r>
        <w:t>Références bibliographiques</w:t>
      </w:r>
    </w:p>
    <w:p w:rsidR="00674CF3" w:rsidRPr="00C87D73" w:rsidRDefault="00674CF3" w:rsidP="002040BB">
      <w:pPr>
        <w:pStyle w:val="whitespace-pre-wrap"/>
        <w:numPr>
          <w:ilvl w:val="0"/>
          <w:numId w:val="16"/>
        </w:numPr>
        <w:spacing w:line="360" w:lineRule="auto"/>
        <w:jc w:val="both"/>
        <w:rPr>
          <w:rFonts w:asciiTheme="majorBidi" w:hAnsiTheme="majorBidi" w:cstheme="majorBidi"/>
          <w:shd w:val="clear" w:color="auto" w:fill="FFFFFF"/>
          <w:lang w:val="en-US"/>
        </w:rPr>
      </w:pPr>
      <w:r w:rsidRPr="00C87D73">
        <w:rPr>
          <w:rFonts w:asciiTheme="majorBidi" w:hAnsiTheme="majorBidi" w:cstheme="majorBidi"/>
          <w:shd w:val="clear" w:color="auto" w:fill="FFFFFF"/>
        </w:rPr>
        <w:t xml:space="preserve">Acs, Z. J., Desai, S., &amp;Hessels, J. (2008). </w:t>
      </w:r>
      <w:r w:rsidRPr="00C87D73">
        <w:rPr>
          <w:rFonts w:asciiTheme="majorBidi" w:hAnsiTheme="majorBidi" w:cstheme="majorBidi"/>
          <w:shd w:val="clear" w:color="auto" w:fill="FFFFFF"/>
          <w:lang w:val="en-US"/>
        </w:rPr>
        <w:t>Entrepreneurship, economic development and institutions. Small business economics, 31, 219-234.</w:t>
      </w:r>
    </w:p>
    <w:p w:rsidR="0064740C" w:rsidRPr="00C87D73" w:rsidRDefault="0064740C" w:rsidP="002040BB">
      <w:pPr>
        <w:pStyle w:val="Paragraphedeliste"/>
        <w:numPr>
          <w:ilvl w:val="0"/>
          <w:numId w:val="16"/>
        </w:numPr>
        <w:spacing w:line="360" w:lineRule="auto"/>
        <w:jc w:val="both"/>
        <w:rPr>
          <w:rFonts w:asciiTheme="majorBidi" w:hAnsiTheme="majorBidi" w:cstheme="majorBidi"/>
          <w:sz w:val="24"/>
          <w:szCs w:val="24"/>
          <w:shd w:val="clear" w:color="auto" w:fill="FFFFFF"/>
          <w:lang w:val="en-US"/>
        </w:rPr>
      </w:pPr>
      <w:r w:rsidRPr="00C87D73">
        <w:rPr>
          <w:rFonts w:asciiTheme="majorBidi" w:hAnsiTheme="majorBidi" w:cstheme="majorBidi"/>
          <w:sz w:val="24"/>
          <w:szCs w:val="24"/>
          <w:shd w:val="clear" w:color="auto" w:fill="FFFFFF"/>
          <w:lang w:val="en-US"/>
        </w:rPr>
        <w:t>Acs, Z. J., Audretsch, D. B., &amp; Lehmann, E. E. (2013). The knowledge spillover theory of entrepreneurship. Small business economics, 41, 757-774.</w:t>
      </w:r>
    </w:p>
    <w:p w:rsidR="0064740C" w:rsidRPr="00C87D73" w:rsidRDefault="0064740C"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C87D73">
        <w:rPr>
          <w:rFonts w:asciiTheme="majorBidi" w:eastAsia="Times New Roman" w:hAnsiTheme="majorBidi" w:cstheme="majorBidi"/>
          <w:sz w:val="24"/>
          <w:szCs w:val="24"/>
          <w:lang w:val="en-US" w:eastAsia="fr-FR"/>
        </w:rPr>
        <w:t>Austin, J., Stevenson, H., &amp; Wei-Skillern, J. (2006). Social and commercial entrepreneurship: Same, different, or both? Entrepreneurship Theory and Practice, 30(1), 1-22.</w:t>
      </w:r>
    </w:p>
    <w:p w:rsidR="0064740C" w:rsidRPr="00C87D73" w:rsidRDefault="00674CF3" w:rsidP="002040BB">
      <w:pPr>
        <w:pStyle w:val="whitespace-pre-wrap"/>
        <w:numPr>
          <w:ilvl w:val="0"/>
          <w:numId w:val="16"/>
        </w:numPr>
        <w:spacing w:line="360" w:lineRule="auto"/>
        <w:jc w:val="both"/>
        <w:rPr>
          <w:rFonts w:asciiTheme="majorBidi" w:hAnsiTheme="majorBidi" w:cstheme="majorBidi"/>
          <w:shd w:val="clear" w:color="auto" w:fill="FFFFFF"/>
          <w:lang w:val="en-US"/>
        </w:rPr>
      </w:pPr>
      <w:r w:rsidRPr="00C87D73">
        <w:rPr>
          <w:rFonts w:asciiTheme="majorBidi" w:hAnsiTheme="majorBidi" w:cstheme="majorBidi"/>
          <w:shd w:val="clear" w:color="auto" w:fill="FFFFFF"/>
          <w:lang w:val="en-US"/>
        </w:rPr>
        <w:t>Ayadi, R., &amp;Sessa, E. (2017). Regional integration in the Euro-Mediterranean (No. 1). EMNES Working Paper.</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hAnsiTheme="majorBidi" w:cstheme="majorBidi"/>
          <w:sz w:val="24"/>
          <w:szCs w:val="24"/>
          <w:shd w:val="clear" w:color="auto" w:fill="FFFFFF"/>
        </w:rPr>
      </w:pPr>
      <w:r w:rsidRPr="00C87D73">
        <w:rPr>
          <w:rFonts w:asciiTheme="majorBidi" w:hAnsiTheme="majorBidi" w:cstheme="majorBidi"/>
          <w:sz w:val="24"/>
          <w:szCs w:val="24"/>
          <w:shd w:val="clear" w:color="auto" w:fill="FFFFFF"/>
        </w:rPr>
        <w:t>Berger-Douce, S. (2008, May). L'engagement environnemental des PME: Une analyse comparative France Tunisie. In 17ème Conférence de l'AIMS (Association Internationale de Management Stratégique) (pp. 26-p).</w:t>
      </w:r>
    </w:p>
    <w:p w:rsidR="0064740C" w:rsidRPr="00C87D73" w:rsidRDefault="0064740C" w:rsidP="002040BB">
      <w:pPr>
        <w:pStyle w:val="Paragraphedeliste"/>
        <w:numPr>
          <w:ilvl w:val="0"/>
          <w:numId w:val="16"/>
        </w:numPr>
        <w:spacing w:line="360" w:lineRule="auto"/>
        <w:jc w:val="both"/>
        <w:rPr>
          <w:rFonts w:asciiTheme="majorBidi" w:hAnsiTheme="majorBidi" w:cstheme="majorBidi"/>
          <w:sz w:val="24"/>
          <w:szCs w:val="24"/>
          <w:shd w:val="clear" w:color="auto" w:fill="FFFFFF"/>
          <w:lang w:val="en-US"/>
        </w:rPr>
      </w:pPr>
      <w:r w:rsidRPr="00A309F1">
        <w:rPr>
          <w:rFonts w:asciiTheme="majorBidi" w:hAnsiTheme="majorBidi" w:cstheme="majorBidi"/>
          <w:sz w:val="24"/>
          <w:szCs w:val="24"/>
          <w:shd w:val="clear" w:color="auto" w:fill="FFFFFF"/>
          <w:lang w:val="en-US"/>
        </w:rPr>
        <w:t xml:space="preserve">Bartniczak, B., &amp;Raszkowski, A. (2018). </w:t>
      </w:r>
      <w:r w:rsidRPr="00C87D73">
        <w:rPr>
          <w:rFonts w:asciiTheme="majorBidi" w:hAnsiTheme="majorBidi" w:cstheme="majorBidi"/>
          <w:sz w:val="24"/>
          <w:szCs w:val="24"/>
          <w:shd w:val="clear" w:color="auto" w:fill="FFFFFF"/>
          <w:lang w:val="en-US"/>
        </w:rPr>
        <w:t xml:space="preserve">Sustainable development in African countries: An indicator-based approach and recommendations for the future. Sustainability, 11(1), </w:t>
      </w:r>
      <w:r w:rsidR="00C87D73" w:rsidRPr="00C87D73">
        <w:rPr>
          <w:rFonts w:asciiTheme="majorBidi" w:hAnsiTheme="majorBidi" w:cstheme="majorBidi"/>
          <w:sz w:val="24"/>
          <w:szCs w:val="24"/>
          <w:shd w:val="clear" w:color="auto" w:fill="FFFFFF"/>
          <w:lang w:val="en-US"/>
        </w:rPr>
        <w:t>22.</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eastAsia="fr-FR"/>
        </w:rPr>
      </w:pPr>
      <w:r w:rsidRPr="00C87D73">
        <w:rPr>
          <w:rFonts w:asciiTheme="majorBidi" w:hAnsiTheme="majorBidi" w:cstheme="majorBidi"/>
          <w:sz w:val="24"/>
          <w:szCs w:val="24"/>
          <w:shd w:val="clear" w:color="auto" w:fill="FFFFFF"/>
        </w:rPr>
        <w:t xml:space="preserve">BASSI, S. L’économie sociale et solidaire: Une alternative pour développer </w:t>
      </w:r>
      <w:r w:rsidR="00C87D73" w:rsidRPr="00C87D73">
        <w:rPr>
          <w:rFonts w:asciiTheme="majorBidi" w:hAnsiTheme="majorBidi" w:cstheme="majorBidi"/>
          <w:sz w:val="24"/>
          <w:szCs w:val="24"/>
          <w:shd w:val="clear" w:color="auto" w:fill="FFFFFF"/>
        </w:rPr>
        <w:t>autrement.</w:t>
      </w:r>
      <w:r w:rsidRPr="00C87D73">
        <w:rPr>
          <w:rFonts w:asciiTheme="majorBidi" w:hAnsiTheme="majorBidi" w:cstheme="majorBidi"/>
          <w:sz w:val="24"/>
          <w:szCs w:val="24"/>
          <w:shd w:val="clear" w:color="auto" w:fill="FFFFFF"/>
        </w:rPr>
        <w:t> TRAVAIL &amp; DÉVELOPPEMENT REVUE TUNISIENNE DES SCIENCES DU TRAVAIL. 2020</w:t>
      </w:r>
    </w:p>
    <w:p w:rsidR="0064740C" w:rsidRPr="00C87D73" w:rsidRDefault="0064740C" w:rsidP="002040BB">
      <w:pPr>
        <w:pStyle w:val="Paragraphedeliste"/>
        <w:numPr>
          <w:ilvl w:val="0"/>
          <w:numId w:val="16"/>
        </w:numPr>
        <w:spacing w:line="360" w:lineRule="auto"/>
        <w:jc w:val="both"/>
        <w:rPr>
          <w:rFonts w:asciiTheme="majorBidi" w:hAnsiTheme="majorBidi" w:cstheme="majorBidi"/>
          <w:sz w:val="24"/>
          <w:szCs w:val="24"/>
        </w:rPr>
      </w:pPr>
      <w:r w:rsidRPr="00A309F1">
        <w:rPr>
          <w:rFonts w:asciiTheme="majorBidi" w:eastAsia="Times New Roman" w:hAnsiTheme="majorBidi" w:cstheme="majorBidi"/>
          <w:sz w:val="24"/>
          <w:szCs w:val="24"/>
          <w:lang w:val="en-US" w:eastAsia="fr-FR"/>
        </w:rPr>
        <w:t xml:space="preserve">Battilana, J., &amp; Lee, M. (2014). </w:t>
      </w:r>
      <w:r w:rsidRPr="00C87D73">
        <w:rPr>
          <w:rFonts w:asciiTheme="majorBidi" w:eastAsia="Times New Roman" w:hAnsiTheme="majorBidi" w:cstheme="majorBidi"/>
          <w:sz w:val="24"/>
          <w:szCs w:val="24"/>
          <w:lang w:val="en-US" w:eastAsia="fr-FR"/>
        </w:rPr>
        <w:t xml:space="preserve">Advancing research on hybrid organizing–Insights from the study of social enterprises. </w:t>
      </w:r>
      <w:r w:rsidRPr="00C87D73">
        <w:rPr>
          <w:rFonts w:asciiTheme="majorBidi" w:eastAsia="Times New Roman" w:hAnsiTheme="majorBidi" w:cstheme="majorBidi"/>
          <w:sz w:val="24"/>
          <w:szCs w:val="24"/>
          <w:lang w:eastAsia="fr-FR"/>
        </w:rPr>
        <w:t xml:space="preserve">Academy of Management Annals, 8(1), 397-441. </w:t>
      </w:r>
    </w:p>
    <w:p w:rsidR="0064740C" w:rsidRPr="00C87D73" w:rsidRDefault="0064740C" w:rsidP="002040BB">
      <w:pPr>
        <w:pStyle w:val="whitespace-pre-wrap"/>
        <w:numPr>
          <w:ilvl w:val="0"/>
          <w:numId w:val="16"/>
        </w:numPr>
        <w:spacing w:line="360" w:lineRule="auto"/>
        <w:jc w:val="both"/>
        <w:rPr>
          <w:rFonts w:asciiTheme="majorBidi" w:hAnsiTheme="majorBidi" w:cstheme="majorBidi"/>
        </w:rPr>
      </w:pPr>
      <w:r w:rsidRPr="00C87D73">
        <w:rPr>
          <w:rFonts w:asciiTheme="majorBidi" w:hAnsiTheme="majorBidi" w:cstheme="majorBidi"/>
          <w:lang w:val="en-US"/>
        </w:rPr>
        <w:t xml:space="preserve">Cohen, B., &amp; Winn, M. I. (2007). Market imperfections, opportunity and sustainable entrepreneurship. </w:t>
      </w:r>
      <w:r w:rsidRPr="00C87D73">
        <w:rPr>
          <w:rFonts w:asciiTheme="majorBidi" w:hAnsiTheme="majorBidi" w:cstheme="majorBidi"/>
        </w:rPr>
        <w:t>Journal of Business Venturing, 22(1), 29-49</w:t>
      </w:r>
    </w:p>
    <w:p w:rsidR="002040BB" w:rsidRPr="00C87D73" w:rsidRDefault="002040BB"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C87D73">
        <w:rPr>
          <w:rFonts w:asciiTheme="majorBidi" w:eastAsia="Times New Roman" w:hAnsiTheme="majorBidi" w:cstheme="majorBidi"/>
          <w:sz w:val="24"/>
          <w:szCs w:val="24"/>
          <w:lang w:val="en-US" w:eastAsia="fr-FR"/>
        </w:rPr>
        <w:t>Dacin, P. A., Dacin, M. T., &amp;Matear, M. (2010). Social entrepreneurship: Why we don't need a new theory and how we move forward from here. Academy of Management Perspectives, 24(3), 37-57.</w:t>
      </w:r>
    </w:p>
    <w:p w:rsidR="006D0613" w:rsidRPr="00C87D73" w:rsidRDefault="006D0613" w:rsidP="002040BB">
      <w:pPr>
        <w:pStyle w:val="Paragraphedeliste"/>
        <w:numPr>
          <w:ilvl w:val="0"/>
          <w:numId w:val="16"/>
        </w:numPr>
        <w:spacing w:line="360" w:lineRule="auto"/>
        <w:jc w:val="both"/>
        <w:rPr>
          <w:rFonts w:asciiTheme="majorBidi" w:hAnsiTheme="majorBidi" w:cstheme="majorBidi"/>
          <w:sz w:val="24"/>
          <w:szCs w:val="24"/>
          <w:lang w:val="en-US"/>
        </w:rPr>
      </w:pPr>
      <w:r w:rsidRPr="00C87D73">
        <w:rPr>
          <w:rFonts w:asciiTheme="majorBidi" w:eastAsia="Times New Roman" w:hAnsiTheme="majorBidi" w:cstheme="majorBidi"/>
          <w:sz w:val="24"/>
          <w:szCs w:val="24"/>
          <w:lang w:val="en-US" w:eastAsia="fr-FR"/>
        </w:rPr>
        <w:t>Dean, T. J., &amp; McMullen, J. S. (2007). Toward a theory of sustainable entrepreneurship: Reducing environmental degradation through entrepreneurial action. Journal of Business Venturing, 22(1), 50-76.</w:t>
      </w:r>
    </w:p>
    <w:p w:rsidR="00BD7B1C" w:rsidRPr="00C87D73" w:rsidRDefault="00BD7B1C" w:rsidP="002040BB">
      <w:pPr>
        <w:pStyle w:val="whitespace-pre-wrap"/>
        <w:numPr>
          <w:ilvl w:val="0"/>
          <w:numId w:val="16"/>
        </w:numPr>
        <w:spacing w:line="360" w:lineRule="auto"/>
        <w:jc w:val="both"/>
        <w:rPr>
          <w:rFonts w:asciiTheme="majorBidi" w:hAnsiTheme="majorBidi" w:cstheme="majorBidi"/>
          <w:shd w:val="clear" w:color="auto" w:fill="FFFFFF"/>
          <w:lang w:val="en-US"/>
        </w:rPr>
      </w:pPr>
      <w:r w:rsidRPr="00C87D73">
        <w:rPr>
          <w:rFonts w:asciiTheme="majorBidi" w:hAnsiTheme="majorBidi" w:cstheme="majorBidi"/>
          <w:shd w:val="clear" w:color="auto" w:fill="FFFFFF"/>
          <w:lang w:val="en-US"/>
        </w:rPr>
        <w:lastRenderedPageBreak/>
        <w:t>Elkington, J. (1997). The triple bottom line for 21st century business. Journal of Experimental Psychology: General, 136.</w:t>
      </w:r>
    </w:p>
    <w:p w:rsidR="002040BB" w:rsidRPr="00C87D73" w:rsidRDefault="002040BB" w:rsidP="002040BB">
      <w:pPr>
        <w:pStyle w:val="Paragraphedeliste"/>
        <w:numPr>
          <w:ilvl w:val="0"/>
          <w:numId w:val="16"/>
        </w:numPr>
        <w:spacing w:line="360" w:lineRule="auto"/>
        <w:jc w:val="both"/>
        <w:rPr>
          <w:rFonts w:asciiTheme="majorBidi" w:hAnsiTheme="majorBidi" w:cstheme="majorBidi"/>
          <w:sz w:val="24"/>
          <w:szCs w:val="24"/>
          <w:lang w:val="en-US"/>
        </w:rPr>
      </w:pPr>
      <w:r w:rsidRPr="00C87D73">
        <w:rPr>
          <w:rFonts w:asciiTheme="majorBidi" w:hAnsiTheme="majorBidi" w:cstheme="majorBidi"/>
          <w:sz w:val="24"/>
          <w:szCs w:val="24"/>
          <w:shd w:val="clear" w:color="auto" w:fill="FFFFFF"/>
        </w:rPr>
        <w:t xml:space="preserve">Garcia-Sanchez, I. M., Aibar-Guzmán, B., Aibar-Guzmán, C., &amp; Rodriguez-Ariza, L. (2020). </w:t>
      </w:r>
      <w:r w:rsidRPr="00C87D73">
        <w:rPr>
          <w:rFonts w:asciiTheme="majorBidi" w:hAnsiTheme="majorBidi" w:cstheme="majorBidi"/>
          <w:sz w:val="24"/>
          <w:szCs w:val="24"/>
          <w:shd w:val="clear" w:color="auto" w:fill="FFFFFF"/>
          <w:lang w:val="en-US"/>
        </w:rPr>
        <w:t>“Sell” recommendations by analysts in response to business communication strategies concerning the Sustainable Development Goals and the SDG compass. Journal of Cleaner Production, 255, 120194</w:t>
      </w:r>
    </w:p>
    <w:p w:rsidR="00BD7B1C" w:rsidRPr="00C87D73" w:rsidRDefault="00BD7B1C" w:rsidP="002040BB">
      <w:pPr>
        <w:pStyle w:val="whitespace-pre-wrap"/>
        <w:numPr>
          <w:ilvl w:val="0"/>
          <w:numId w:val="16"/>
        </w:numPr>
        <w:spacing w:line="360" w:lineRule="auto"/>
        <w:jc w:val="both"/>
        <w:rPr>
          <w:rFonts w:asciiTheme="majorBidi" w:hAnsiTheme="majorBidi" w:cstheme="majorBidi"/>
          <w:lang w:val="en-US"/>
        </w:rPr>
      </w:pPr>
      <w:r w:rsidRPr="00C87D73">
        <w:rPr>
          <w:rFonts w:asciiTheme="majorBidi" w:hAnsiTheme="majorBidi" w:cstheme="majorBidi"/>
          <w:shd w:val="clear" w:color="auto" w:fill="FFFFFF"/>
          <w:lang w:val="en-US"/>
        </w:rPr>
        <w:t>Gherib, J., &amp; Berger-Douce, S. (2012). Entrepreneurial profile and environmental commitment of SMEs: A comparative analysis in franceand in Tunisia. International Business Research, 5(7), 1.</w:t>
      </w:r>
    </w:p>
    <w:p w:rsidR="00655155" w:rsidRPr="00C87D73" w:rsidRDefault="00655155" w:rsidP="002040BB">
      <w:pPr>
        <w:pStyle w:val="whitespace-pre-wrap"/>
        <w:numPr>
          <w:ilvl w:val="0"/>
          <w:numId w:val="16"/>
        </w:numPr>
        <w:spacing w:line="360" w:lineRule="auto"/>
        <w:jc w:val="both"/>
        <w:rPr>
          <w:rFonts w:asciiTheme="majorBidi" w:hAnsiTheme="majorBidi" w:cstheme="majorBidi"/>
          <w:lang w:val="en-US"/>
        </w:rPr>
      </w:pPr>
      <w:r w:rsidRPr="00C87D73">
        <w:rPr>
          <w:rFonts w:asciiTheme="majorBidi" w:hAnsiTheme="majorBidi" w:cstheme="majorBidi"/>
          <w:shd w:val="clear" w:color="auto" w:fill="FFFFFF"/>
        </w:rPr>
        <w:t xml:space="preserve">Kouam, J. C., &amp;Asongu, S. A. (2022). </w:t>
      </w:r>
      <w:r w:rsidRPr="00C87D73">
        <w:rPr>
          <w:rFonts w:asciiTheme="majorBidi" w:hAnsiTheme="majorBidi" w:cstheme="majorBidi"/>
          <w:shd w:val="clear" w:color="auto" w:fill="FFFFFF"/>
          <w:lang w:val="en-US"/>
        </w:rPr>
        <w:t>Effects of taxation on social innovation and implications for achieving sustainable development goals in developing countries: A literature review. International Journal of Innovation Studies, 6(4), 259-275.</w:t>
      </w:r>
    </w:p>
    <w:p w:rsidR="00655155" w:rsidRPr="00C87D73" w:rsidRDefault="00655155" w:rsidP="002040BB">
      <w:pPr>
        <w:pStyle w:val="whitespace-pre-wrap"/>
        <w:numPr>
          <w:ilvl w:val="0"/>
          <w:numId w:val="16"/>
        </w:numPr>
        <w:spacing w:line="360" w:lineRule="auto"/>
        <w:jc w:val="both"/>
        <w:rPr>
          <w:rFonts w:asciiTheme="majorBidi" w:hAnsiTheme="majorBidi" w:cstheme="majorBidi"/>
        </w:rPr>
      </w:pPr>
      <w:r w:rsidRPr="00C87D73">
        <w:rPr>
          <w:rFonts w:asciiTheme="majorBidi" w:hAnsiTheme="majorBidi" w:cstheme="majorBidi"/>
          <w:lang w:val="en-US"/>
        </w:rPr>
        <w:t xml:space="preserve">Mair, J., &amp; Marti, I. (2006). Social entrepreneurship research: A source of explanation, prediction and delight. </w:t>
      </w:r>
      <w:r w:rsidRPr="00C87D73">
        <w:rPr>
          <w:rFonts w:asciiTheme="majorBidi" w:hAnsiTheme="majorBidi" w:cstheme="majorBidi"/>
        </w:rPr>
        <w:t>Journal of World Business, 41, 36-44.</w:t>
      </w:r>
    </w:p>
    <w:p w:rsidR="00655155" w:rsidRPr="00C87D73" w:rsidRDefault="00655155" w:rsidP="002040BB">
      <w:pPr>
        <w:pStyle w:val="whitespace-pre-wrap"/>
        <w:numPr>
          <w:ilvl w:val="0"/>
          <w:numId w:val="16"/>
        </w:numPr>
        <w:spacing w:line="360" w:lineRule="auto"/>
        <w:jc w:val="both"/>
        <w:rPr>
          <w:rFonts w:asciiTheme="majorBidi" w:hAnsiTheme="majorBidi" w:cstheme="majorBidi"/>
          <w:lang w:val="en-US"/>
        </w:rPr>
      </w:pPr>
      <w:r w:rsidRPr="00C87D73">
        <w:rPr>
          <w:rFonts w:asciiTheme="majorBidi" w:hAnsiTheme="majorBidi" w:cstheme="majorBidi"/>
          <w:shd w:val="clear" w:color="auto" w:fill="FFFFFF"/>
        </w:rPr>
        <w:t>Mazhoudi, L. (2020). L’entreprise sociale entre performance économique et utilité sociale. </w:t>
      </w:r>
      <w:r w:rsidRPr="00C87D73">
        <w:rPr>
          <w:rFonts w:asciiTheme="majorBidi" w:hAnsiTheme="majorBidi" w:cstheme="majorBidi"/>
          <w:shd w:val="clear" w:color="auto" w:fill="FFFFFF"/>
          <w:lang w:val="en-US"/>
        </w:rPr>
        <w:t>Journal of Academic Finance, 11(2), 321-330.</w:t>
      </w:r>
    </w:p>
    <w:p w:rsidR="0064740C" w:rsidRPr="00C87D73" w:rsidRDefault="0064740C" w:rsidP="002040BB">
      <w:pPr>
        <w:pStyle w:val="whitespace-pre-wrap"/>
        <w:numPr>
          <w:ilvl w:val="0"/>
          <w:numId w:val="16"/>
        </w:numPr>
        <w:spacing w:line="360" w:lineRule="auto"/>
        <w:jc w:val="both"/>
        <w:rPr>
          <w:rFonts w:asciiTheme="majorBidi" w:hAnsiTheme="majorBidi" w:cstheme="majorBidi"/>
          <w:lang w:val="en-US"/>
        </w:rPr>
      </w:pPr>
      <w:r w:rsidRPr="00A309F1">
        <w:rPr>
          <w:rFonts w:asciiTheme="majorBidi" w:hAnsiTheme="majorBidi" w:cstheme="majorBidi"/>
        </w:rPr>
        <w:t xml:space="preserve">Rahdari, A., Sepasi, S., &amp;Moradi, M. (2016). </w:t>
      </w:r>
      <w:r w:rsidRPr="00C87D73">
        <w:rPr>
          <w:rFonts w:asciiTheme="majorBidi" w:hAnsiTheme="majorBidi" w:cstheme="majorBidi"/>
          <w:lang w:val="en-US"/>
        </w:rPr>
        <w:t>Achieving sustainability through Schumpeterian social entrepreneurship: The role of social enterprises. Journal of Cleaner Production, 137, 347-360.</w:t>
      </w:r>
    </w:p>
    <w:p w:rsidR="0064740C" w:rsidRPr="00C87D73" w:rsidRDefault="0064740C" w:rsidP="002040BB">
      <w:pPr>
        <w:pStyle w:val="whitespace-pre-wrap"/>
        <w:numPr>
          <w:ilvl w:val="0"/>
          <w:numId w:val="16"/>
        </w:numPr>
        <w:spacing w:line="360" w:lineRule="auto"/>
        <w:jc w:val="both"/>
        <w:rPr>
          <w:rFonts w:asciiTheme="majorBidi" w:hAnsiTheme="majorBidi" w:cstheme="majorBidi"/>
          <w:lang w:val="en-US"/>
        </w:rPr>
      </w:pPr>
      <w:r w:rsidRPr="00C87D73">
        <w:rPr>
          <w:rFonts w:asciiTheme="majorBidi" w:hAnsiTheme="majorBidi" w:cstheme="majorBidi"/>
          <w:lang w:val="en-US"/>
        </w:rPr>
        <w:t>Schaltegger, S., &amp; Wagner, M. (2011). Sustainable entrepreneurship and sustainability innovation: categories and interactions. Business Strategy and the Environment, 20(4), 222-237.</w:t>
      </w:r>
    </w:p>
    <w:p w:rsidR="0064740C" w:rsidRPr="00C87D73" w:rsidRDefault="0064740C" w:rsidP="002040BB">
      <w:pPr>
        <w:pStyle w:val="whitespace-pre-wrap"/>
        <w:numPr>
          <w:ilvl w:val="0"/>
          <w:numId w:val="16"/>
        </w:numPr>
        <w:spacing w:line="360" w:lineRule="auto"/>
        <w:jc w:val="both"/>
        <w:rPr>
          <w:rFonts w:asciiTheme="majorBidi" w:hAnsiTheme="majorBidi" w:cstheme="majorBidi"/>
          <w:lang w:val="en-US"/>
        </w:rPr>
      </w:pPr>
      <w:r w:rsidRPr="00C87D73">
        <w:rPr>
          <w:rFonts w:asciiTheme="majorBidi" w:hAnsiTheme="majorBidi" w:cstheme="majorBidi"/>
          <w:lang w:val="en-US"/>
        </w:rPr>
        <w:t>Shane, S., &amp;Venkataraman, S. (2000). The promise of entrepreneurship as a field of research. Academy of Management Review, 25(1), 217-226.</w:t>
      </w:r>
    </w:p>
    <w:p w:rsidR="0064740C" w:rsidRPr="00C87D73" w:rsidRDefault="0064740C" w:rsidP="002040BB">
      <w:pPr>
        <w:pStyle w:val="whitespace-pre-wrap"/>
        <w:numPr>
          <w:ilvl w:val="0"/>
          <w:numId w:val="16"/>
        </w:numPr>
        <w:spacing w:line="360" w:lineRule="auto"/>
        <w:jc w:val="both"/>
        <w:rPr>
          <w:rFonts w:asciiTheme="majorBidi" w:hAnsiTheme="majorBidi" w:cstheme="majorBidi"/>
          <w:shd w:val="clear" w:color="auto" w:fill="FFFFFF"/>
        </w:rPr>
      </w:pPr>
      <w:r w:rsidRPr="00C87D73">
        <w:rPr>
          <w:rFonts w:asciiTheme="majorBidi" w:hAnsiTheme="majorBidi" w:cstheme="majorBidi"/>
          <w:lang w:val="en-US"/>
        </w:rPr>
        <w:t>Shepherd, D. A., &amp;Patzelt, H. (2011). The new field of sustainable entrepreneurship: studying entrepreneurial action linking "what is to be sustained" with "what is to be developed". Entrepreneurship Theory and Practice, 35(1), 137-163.</w:t>
      </w:r>
    </w:p>
    <w:p w:rsidR="0064740C" w:rsidRPr="00C87D73" w:rsidRDefault="00674CF3" w:rsidP="002040BB">
      <w:pPr>
        <w:pStyle w:val="Paragraphedeliste"/>
        <w:numPr>
          <w:ilvl w:val="0"/>
          <w:numId w:val="16"/>
        </w:numPr>
        <w:spacing w:line="360" w:lineRule="auto"/>
        <w:jc w:val="both"/>
        <w:rPr>
          <w:rFonts w:asciiTheme="majorBidi" w:hAnsiTheme="majorBidi" w:cstheme="majorBidi"/>
          <w:sz w:val="24"/>
          <w:szCs w:val="24"/>
          <w:shd w:val="clear" w:color="auto" w:fill="FFFFFF"/>
        </w:rPr>
      </w:pPr>
      <w:r w:rsidRPr="00C87D73">
        <w:rPr>
          <w:rFonts w:asciiTheme="majorBidi" w:hAnsiTheme="majorBidi" w:cstheme="majorBidi"/>
          <w:sz w:val="24"/>
          <w:szCs w:val="24"/>
          <w:shd w:val="clear" w:color="auto" w:fill="FFFFFF"/>
          <w:lang w:val="en-US"/>
        </w:rPr>
        <w:t>Santos, F. M. (2012). A positive theory of social entrepreneurship. </w:t>
      </w:r>
      <w:r w:rsidRPr="00C87D73">
        <w:rPr>
          <w:rFonts w:asciiTheme="majorBidi" w:hAnsiTheme="majorBidi" w:cstheme="majorBidi"/>
          <w:sz w:val="24"/>
          <w:szCs w:val="24"/>
          <w:shd w:val="clear" w:color="auto" w:fill="FFFFFF"/>
        </w:rPr>
        <w:t>Journal of business ethics, 111(3), 335-351.</w:t>
      </w:r>
    </w:p>
    <w:p w:rsidR="0064740C" w:rsidRPr="00C87D73" w:rsidRDefault="0064740C"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eastAsia="fr-FR"/>
        </w:rPr>
      </w:pPr>
      <w:r w:rsidRPr="00C87D73">
        <w:rPr>
          <w:rFonts w:asciiTheme="majorBidi" w:eastAsia="Times New Roman" w:hAnsiTheme="majorBidi" w:cstheme="majorBidi"/>
          <w:sz w:val="24"/>
          <w:szCs w:val="24"/>
          <w:lang w:val="en-US" w:eastAsia="fr-FR"/>
        </w:rPr>
        <w:t xml:space="preserve">Schaltegger, S., &amp; Wagner, M. (2011). Sustainable entrepreneurship and sustainability innovation: Categories and interactions. </w:t>
      </w:r>
      <w:r w:rsidRPr="00C87D73">
        <w:rPr>
          <w:rFonts w:asciiTheme="majorBidi" w:eastAsia="Times New Roman" w:hAnsiTheme="majorBidi" w:cstheme="majorBidi"/>
          <w:sz w:val="24"/>
          <w:szCs w:val="24"/>
          <w:lang w:eastAsia="fr-FR"/>
        </w:rPr>
        <w:t xml:space="preserve">Business Strategy and the Environment, 20(4), 222-237. </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C87D73">
        <w:rPr>
          <w:rFonts w:asciiTheme="majorBidi" w:eastAsia="Times New Roman" w:hAnsiTheme="majorBidi" w:cstheme="majorBidi"/>
          <w:sz w:val="24"/>
          <w:szCs w:val="24"/>
          <w:lang w:val="en-US" w:eastAsia="fr-FR"/>
        </w:rPr>
        <w:lastRenderedPageBreak/>
        <w:t xml:space="preserve">Shepherd, D. A., &amp;Patzelt, H. (2011). The new field of sustainable entrepreneurship: Studying entrepreneurial action linking "what is to be sustained" with "what is to be developed". Entrepreneurship Theory and Practice, 35(1), 137-163. </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eastAsia="fr-FR"/>
        </w:rPr>
      </w:pPr>
      <w:r w:rsidRPr="00C87D73">
        <w:rPr>
          <w:rFonts w:asciiTheme="majorBidi" w:eastAsia="Times New Roman" w:hAnsiTheme="majorBidi" w:cstheme="majorBidi"/>
          <w:sz w:val="24"/>
          <w:szCs w:val="24"/>
          <w:lang w:val="en-US" w:eastAsia="fr-FR"/>
        </w:rPr>
        <w:t xml:space="preserve">Smith, W. K., Gonin, M., &amp;Besharov, M. L. (2013). Managing social-business tensions: A review and research agenda for social enterprise. </w:t>
      </w:r>
      <w:r w:rsidRPr="00C87D73">
        <w:rPr>
          <w:rFonts w:asciiTheme="majorBidi" w:eastAsia="Times New Roman" w:hAnsiTheme="majorBidi" w:cstheme="majorBidi"/>
          <w:sz w:val="24"/>
          <w:szCs w:val="24"/>
          <w:lang w:eastAsia="fr-FR"/>
        </w:rPr>
        <w:t xml:space="preserve">Business EthicsQuarterly, 23(3), 407-442. </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eastAsia="fr-FR"/>
        </w:rPr>
      </w:pPr>
      <w:r w:rsidRPr="00C87D73">
        <w:rPr>
          <w:rFonts w:asciiTheme="majorBidi" w:eastAsia="Times New Roman" w:hAnsiTheme="majorBidi" w:cstheme="majorBidi"/>
          <w:sz w:val="24"/>
          <w:szCs w:val="24"/>
          <w:lang w:val="en-US" w:eastAsia="fr-FR"/>
        </w:rPr>
        <w:t xml:space="preserve">Seelos, C., &amp;Mair, J. (2005). Social entrepreneurship: Creating new business models to serve the poor. </w:t>
      </w:r>
      <w:r w:rsidRPr="00C87D73">
        <w:rPr>
          <w:rFonts w:asciiTheme="majorBidi" w:eastAsia="Times New Roman" w:hAnsiTheme="majorBidi" w:cstheme="majorBidi"/>
          <w:sz w:val="24"/>
          <w:szCs w:val="24"/>
          <w:lang w:eastAsia="fr-FR"/>
        </w:rPr>
        <w:t>Business Horizons, 48(3), 241-246.</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C87D73">
        <w:rPr>
          <w:rFonts w:asciiTheme="majorBidi" w:eastAsia="Times New Roman" w:hAnsiTheme="majorBidi" w:cstheme="majorBidi"/>
          <w:sz w:val="24"/>
          <w:szCs w:val="24"/>
          <w:lang w:val="en-US" w:eastAsia="fr-FR"/>
        </w:rPr>
        <w:t>Sdiri, H., &amp; Ammar, I. (2024). Corporate sustainability commitment in the Middle East and North Africa region: Impact on innovation and firm performance. Business Strategy &amp; Development, 7(4), e70025</w:t>
      </w:r>
    </w:p>
    <w:p w:rsidR="00674CF3" w:rsidRPr="00C87D73" w:rsidRDefault="00674CF3"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C87D73">
        <w:rPr>
          <w:rFonts w:asciiTheme="majorBidi" w:eastAsia="Times New Roman" w:hAnsiTheme="majorBidi" w:cstheme="majorBidi"/>
          <w:sz w:val="24"/>
          <w:szCs w:val="24"/>
          <w:lang w:val="en-US" w:eastAsia="fr-FR"/>
        </w:rPr>
        <w:t>Slimane, S. B. (2016). Paradigm shift in sustainable economic and ecological development: The case of Tunisia (Doctoral dissertation, Manouba University, Tunisia).</w:t>
      </w:r>
    </w:p>
    <w:p w:rsidR="0064740C" w:rsidRPr="00C87D73" w:rsidRDefault="0064740C" w:rsidP="002040BB">
      <w:pPr>
        <w:pStyle w:val="Paragraphedeliste"/>
        <w:numPr>
          <w:ilvl w:val="0"/>
          <w:numId w:val="16"/>
        </w:num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C87D73">
        <w:rPr>
          <w:rFonts w:asciiTheme="majorBidi" w:eastAsia="Times New Roman" w:hAnsiTheme="majorBidi" w:cstheme="majorBidi"/>
          <w:sz w:val="24"/>
          <w:szCs w:val="24"/>
          <w:lang w:val="en-US" w:eastAsia="fr-FR"/>
        </w:rPr>
        <w:t xml:space="preserve">York, J. G., &amp;Venkataraman, S. (2010). The entrepreneur–environment nexus: Uncertainty, innovation, and allocation. Journal of Business Venturing, 25(5), 449-463. </w:t>
      </w:r>
    </w:p>
    <w:p w:rsidR="0064740C" w:rsidRPr="00C87D73" w:rsidRDefault="0064740C" w:rsidP="002040BB">
      <w:pPr>
        <w:pStyle w:val="whitespace-pre-wrap"/>
        <w:numPr>
          <w:ilvl w:val="0"/>
          <w:numId w:val="16"/>
        </w:numPr>
        <w:spacing w:line="360" w:lineRule="auto"/>
        <w:jc w:val="both"/>
        <w:rPr>
          <w:rFonts w:asciiTheme="majorBidi" w:hAnsiTheme="majorBidi" w:cstheme="majorBidi"/>
        </w:rPr>
      </w:pPr>
      <w:r w:rsidRPr="00C87D73">
        <w:rPr>
          <w:rFonts w:asciiTheme="majorBidi" w:hAnsiTheme="majorBidi" w:cstheme="majorBidi"/>
          <w:lang w:val="en-US"/>
        </w:rPr>
        <w:t xml:space="preserve">Zahra, S. A., Rawhouser, H. N., Bhawe, N., Neubaum, D. O., &amp; Hayton, J. C. (2008). Globalization of social entrepreneurship opportunities. </w:t>
      </w:r>
      <w:r w:rsidRPr="00C87D73">
        <w:rPr>
          <w:rFonts w:asciiTheme="majorBidi" w:hAnsiTheme="majorBidi" w:cstheme="majorBidi"/>
        </w:rPr>
        <w:t xml:space="preserve">Strategic Entrepreneurship Journal, 2(2), 117-131. </w:t>
      </w:r>
    </w:p>
    <w:p w:rsidR="0064740C" w:rsidRDefault="0064740C" w:rsidP="0064740C">
      <w:pPr>
        <w:pStyle w:val="whitespace-pre-wrap"/>
        <w:rPr>
          <w:rFonts w:ascii="Arial" w:hAnsi="Arial" w:cs="Arial"/>
          <w:color w:val="222222"/>
          <w:sz w:val="20"/>
          <w:szCs w:val="20"/>
          <w:shd w:val="clear" w:color="auto" w:fill="FFFFFF"/>
        </w:rPr>
      </w:pPr>
      <w:r>
        <w:rPr>
          <w:rFonts w:ascii="Arial" w:hAnsi="Arial" w:cs="Arial"/>
          <w:color w:val="222222"/>
          <w:sz w:val="20"/>
          <w:szCs w:val="20"/>
          <w:shd w:val="clear" w:color="auto" w:fill="FFFFFF"/>
        </w:rPr>
        <w:t>.</w:t>
      </w:r>
    </w:p>
    <w:p w:rsidR="0064740C" w:rsidRPr="00075DBC" w:rsidRDefault="0064740C" w:rsidP="0064740C"/>
    <w:p w:rsidR="004052F0" w:rsidRDefault="004052F0" w:rsidP="005F6450">
      <w:pPr>
        <w:pStyle w:val="whitespace-pre-wrap"/>
        <w:spacing w:line="360" w:lineRule="auto"/>
        <w:jc w:val="both"/>
        <w:rPr>
          <w:rFonts w:asciiTheme="majorBidi" w:hAnsiTheme="majorBidi" w:cstheme="majorBidi"/>
          <w:sz w:val="28"/>
          <w:szCs w:val="28"/>
        </w:rPr>
      </w:pPr>
    </w:p>
    <w:p w:rsidR="004052F0" w:rsidRPr="008B5E26" w:rsidRDefault="004052F0" w:rsidP="005F6450">
      <w:pPr>
        <w:pStyle w:val="whitespace-pre-wrap"/>
        <w:spacing w:line="360" w:lineRule="auto"/>
        <w:jc w:val="both"/>
        <w:rPr>
          <w:rFonts w:asciiTheme="majorBidi" w:hAnsiTheme="majorBidi" w:cstheme="majorBidi"/>
          <w:sz w:val="28"/>
          <w:szCs w:val="28"/>
        </w:rPr>
      </w:pPr>
    </w:p>
    <w:sectPr w:rsidR="004052F0" w:rsidRPr="008B5E26" w:rsidSect="00F2035C">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657" w:rsidRDefault="00295657" w:rsidP="00784292">
      <w:pPr>
        <w:spacing w:after="0" w:line="240" w:lineRule="auto"/>
      </w:pPr>
      <w:r>
        <w:separator/>
      </w:r>
    </w:p>
  </w:endnote>
  <w:endnote w:type="continuationSeparator" w:id="1">
    <w:p w:rsidR="00295657" w:rsidRDefault="00295657" w:rsidP="007842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657" w:rsidRDefault="00295657" w:rsidP="00784292">
      <w:pPr>
        <w:spacing w:after="0" w:line="240" w:lineRule="auto"/>
      </w:pPr>
      <w:r>
        <w:separator/>
      </w:r>
    </w:p>
  </w:footnote>
  <w:footnote w:type="continuationSeparator" w:id="1">
    <w:p w:rsidR="00295657" w:rsidRDefault="00295657" w:rsidP="00784292">
      <w:pPr>
        <w:spacing w:after="0" w:line="240" w:lineRule="auto"/>
      </w:pPr>
      <w:r>
        <w:continuationSeparator/>
      </w:r>
    </w:p>
  </w:footnote>
  <w:footnote w:id="2">
    <w:p w:rsidR="00E33CF6" w:rsidRPr="00AF3AC4" w:rsidRDefault="00E33CF6" w:rsidP="00C42383">
      <w:pPr>
        <w:pStyle w:val="Notedebasdepage"/>
      </w:pPr>
      <w:r>
        <w:rPr>
          <w:rStyle w:val="Appelnotedebasdep"/>
        </w:rPr>
        <w:footnoteRef/>
      </w:r>
      <w:hyperlink r:id="rId1" w:history="1">
        <w:r w:rsidRPr="00AF3AC4">
          <w:rPr>
            <w:rStyle w:val="Lienhypertexte"/>
          </w:rPr>
          <w:t>https://documents.un.org/doc/undoc/gen/n15/291/90/pdf/n1529190.pdf</w:t>
        </w:r>
      </w:hyperlink>
    </w:p>
  </w:footnote>
  <w:footnote w:id="3">
    <w:p w:rsidR="00E33CF6" w:rsidRDefault="00E33CF6">
      <w:pPr>
        <w:pStyle w:val="Notedebasdepage"/>
      </w:pPr>
      <w:r>
        <w:rPr>
          <w:rStyle w:val="Appelnotedebasdep"/>
        </w:rPr>
        <w:footnoteRef/>
      </w:r>
      <w:hyperlink r:id="rId2" w:history="1">
        <w:r w:rsidRPr="00927142">
          <w:rPr>
            <w:rStyle w:val="Lienhypertexte"/>
          </w:rPr>
          <w:t>https://www.environnement.gov.tn/developpement-durable/dossiers-planetaires-du-developpement-durable/les-objectifs-de-developpement-durable-odd</w:t>
        </w:r>
      </w:hyperlink>
    </w:p>
    <w:p w:rsidR="00E33CF6" w:rsidRDefault="00E33CF6">
      <w:pPr>
        <w:pStyle w:val="Notedebasdepage"/>
      </w:pPr>
    </w:p>
  </w:footnote>
  <w:footnote w:id="4">
    <w:p w:rsidR="00592DAA" w:rsidRDefault="00592DAA">
      <w:pPr>
        <w:pStyle w:val="Notedebasdepage"/>
      </w:pPr>
      <w:r>
        <w:rPr>
          <w:rStyle w:val="Appelnotedebasdep"/>
        </w:rPr>
        <w:footnoteRef/>
      </w:r>
      <w:r>
        <w:t xml:space="preserve"> </w:t>
      </w:r>
      <w:hyperlink r:id="rId3" w:history="1">
        <w:r w:rsidRPr="009F430D">
          <w:rPr>
            <w:rStyle w:val="Lienhypertexte"/>
          </w:rPr>
          <w:t>https://sdgcompass.org/wp-content/uploads/2016/09/SDG_Compass_Guide_France.pdf</w:t>
        </w:r>
      </w:hyperlink>
    </w:p>
  </w:footnote>
  <w:footnote w:id="5">
    <w:p w:rsidR="00E1672A" w:rsidRPr="00107C4F" w:rsidRDefault="00E1672A" w:rsidP="00E1672A">
      <w:pPr>
        <w:pStyle w:val="Notedebasdepage"/>
      </w:pPr>
      <w:r>
        <w:rPr>
          <w:rStyle w:val="Appelnotedebasdep"/>
        </w:rPr>
        <w:footnoteRef/>
      </w:r>
      <w:hyperlink r:id="rId4" w:history="1">
        <w:r w:rsidRPr="00107C4F">
          <w:rPr>
            <w:rStyle w:val="Lienhypertexte"/>
          </w:rPr>
          <w:t>http://www.gbo.tn/sites/default/files/2021-09/brochure-ODD-TN%20%281%29.pdf</w:t>
        </w:r>
      </w:hyperlink>
    </w:p>
  </w:footnote>
  <w:footnote w:id="6">
    <w:p w:rsidR="00E33CF6" w:rsidRDefault="00E33CF6">
      <w:pPr>
        <w:pStyle w:val="Notedebasdepage"/>
      </w:pPr>
      <w:r>
        <w:rPr>
          <w:rStyle w:val="Appelnotedebasdep"/>
        </w:rPr>
        <w:footnoteRef/>
      </w:r>
      <w:hyperlink r:id="rId5" w:history="1">
        <w:r w:rsidRPr="00107C4F">
          <w:rPr>
            <w:rStyle w:val="Lienhypertexte"/>
          </w:rPr>
          <w:t>https://dashboards.sdgindex.org/profiles/tunisia</w:t>
        </w:r>
      </w:hyperlink>
    </w:p>
  </w:footnote>
  <w:footnote w:id="7">
    <w:p w:rsidR="00E33CF6" w:rsidRPr="00107C4F" w:rsidRDefault="00E33CF6" w:rsidP="00142990">
      <w:pPr>
        <w:pStyle w:val="Notedebasdepage"/>
      </w:pPr>
      <w:r>
        <w:rPr>
          <w:rStyle w:val="Appelnotedebasdep"/>
        </w:rPr>
        <w:footnoteRef/>
      </w:r>
      <w:hyperlink r:id="rId6" w:history="1">
        <w:r w:rsidRPr="00107C4F">
          <w:rPr>
            <w:rStyle w:val="Lienhypertexte"/>
          </w:rPr>
          <w:t>https://s3.amazonaws.com/sustainabledevelopment.report/2024/sustainable-development-report-2024.pdf</w:t>
        </w:r>
      </w:hyperlink>
    </w:p>
  </w:footnote>
  <w:footnote w:id="8">
    <w:p w:rsidR="00E33CF6" w:rsidRDefault="00E33CF6" w:rsidP="00734395">
      <w:pPr>
        <w:pStyle w:val="Notedebasdepage"/>
      </w:pPr>
      <w:r>
        <w:rPr>
          <w:rStyle w:val="Appelnotedebasdep"/>
        </w:rPr>
        <w:footnoteRef/>
      </w:r>
      <w:hyperlink r:id="rId7" w:history="1">
        <w:r w:rsidRPr="0051269B">
          <w:rPr>
            <w:rStyle w:val="Lienhypertexte"/>
          </w:rPr>
          <w:t>https://www.ins.tn/publication/indicateurs-de-lemploi-et-du-chomage-deuxieme-trimestre-2023</w:t>
        </w:r>
      </w:hyperlink>
    </w:p>
  </w:footnote>
  <w:footnote w:id="9">
    <w:p w:rsidR="00E33CF6" w:rsidRDefault="00E33CF6" w:rsidP="00E90268">
      <w:pPr>
        <w:pStyle w:val="Notedebasdepage"/>
      </w:pPr>
      <w:r>
        <w:rPr>
          <w:rStyle w:val="Appelnotedebasdep"/>
        </w:rPr>
        <w:footnoteRef/>
      </w:r>
      <w:hyperlink r:id="rId8" w:history="1">
        <w:r w:rsidRPr="0051269B">
          <w:rPr>
            <w:rStyle w:val="Lienhypertexte"/>
          </w:rPr>
          <w:t>https://www.ins.tn/statistiques/110</w:t>
        </w:r>
      </w:hyperlink>
    </w:p>
  </w:footnote>
  <w:footnote w:id="10">
    <w:p w:rsidR="00E33CF6" w:rsidRDefault="00E33CF6" w:rsidP="002A4F70">
      <w:pPr>
        <w:pStyle w:val="Notedebasdepage"/>
      </w:pPr>
      <w:r>
        <w:rPr>
          <w:rStyle w:val="Appelnotedebasdep"/>
        </w:rPr>
        <w:footnoteRef/>
      </w:r>
      <w:hyperlink r:id="rId9" w:history="1">
        <w:r w:rsidRPr="0051269B">
          <w:rPr>
            <w:rStyle w:val="Lienhypertexte"/>
          </w:rPr>
          <w:t>https://www.unicef.org/tunisia/media/6441/file/Re%CC%81sume%CC%81-exe%CC%81cutif-analyse-sectorielle.pdf</w:t>
        </w:r>
      </w:hyperlink>
    </w:p>
  </w:footnote>
  <w:footnote w:id="11">
    <w:p w:rsidR="00E33CF6" w:rsidRDefault="00E33CF6" w:rsidP="00167128">
      <w:pPr>
        <w:pStyle w:val="Notedebasdepage"/>
      </w:pPr>
      <w:r>
        <w:rPr>
          <w:rStyle w:val="Appelnotedebasdep"/>
        </w:rPr>
        <w:footnoteRef/>
      </w:r>
      <w:hyperlink r:id="rId10" w:history="1">
        <w:r w:rsidRPr="00107C4F">
          <w:rPr>
            <w:rStyle w:val="Lienhypertexte"/>
          </w:rPr>
          <w:t>https://tunisia.un.org/fr/sdgs</w:t>
        </w:r>
      </w:hyperlink>
    </w:p>
  </w:footnote>
  <w:footnote w:id="12">
    <w:p w:rsidR="00012940" w:rsidRPr="00107C4F" w:rsidRDefault="00012940" w:rsidP="00012940">
      <w:pPr>
        <w:pStyle w:val="Notedebasdepage"/>
      </w:pPr>
      <w:r>
        <w:rPr>
          <w:rStyle w:val="Appelnotedebasdep"/>
        </w:rPr>
        <w:footnoteRef/>
      </w:r>
      <w:hyperlink r:id="rId11" w:history="1">
        <w:r w:rsidRPr="00107C4F">
          <w:rPr>
            <w:rStyle w:val="Lienhypertexte"/>
          </w:rPr>
          <w:t>https://dashboards.sdgindex.org/profiles/tunisia</w:t>
        </w:r>
      </w:hyperlink>
    </w:p>
  </w:footnote>
  <w:footnote w:id="13">
    <w:p w:rsidR="00E33CF6" w:rsidRDefault="00E33CF6" w:rsidP="009F4A4D">
      <w:pPr>
        <w:pStyle w:val="Notedebasdepage"/>
      </w:pPr>
      <w:r>
        <w:rPr>
          <w:rStyle w:val="Appelnotedebasdep"/>
        </w:rPr>
        <w:footnoteRef/>
      </w:r>
      <w:hyperlink r:id="rId12" w:history="1">
        <w:r w:rsidRPr="0051269B">
          <w:rPr>
            <w:rStyle w:val="Lienhypertexte"/>
          </w:rPr>
          <w:t>https://tunisia.un.org/sites/default/files/2021-09/VNR_Report_Tunisia%202021.pdf</w:t>
        </w:r>
      </w:hyperlink>
    </w:p>
  </w:footnote>
  <w:footnote w:id="14">
    <w:p w:rsidR="00E33CF6" w:rsidRDefault="00E33CF6">
      <w:pPr>
        <w:pStyle w:val="Notedebasdepage"/>
      </w:pPr>
      <w:r>
        <w:rPr>
          <w:rStyle w:val="Appelnotedebasdep"/>
        </w:rPr>
        <w:footnoteRef/>
      </w:r>
      <w:hyperlink r:id="rId13" w:history="1">
        <w:r w:rsidRPr="0051269B">
          <w:rPr>
            <w:rStyle w:val="Lienhypertexte"/>
          </w:rPr>
          <w:t>https://www.environnement.gov.tn/developpement-durable/la-concretisation-juridique-et-institutionnelle-du-developpement-durable/commission-nationale-du-developpement-durable-cndd</w:t>
        </w:r>
      </w:hyperlink>
    </w:p>
    <w:p w:rsidR="00E33CF6" w:rsidRDefault="00E33CF6">
      <w:pPr>
        <w:pStyle w:val="Notedebasdepage"/>
      </w:pPr>
    </w:p>
  </w:footnote>
  <w:footnote w:id="15">
    <w:p w:rsidR="00E33CF6" w:rsidRDefault="00E33CF6" w:rsidP="0072463E">
      <w:pPr>
        <w:pStyle w:val="Notedebasdepage"/>
      </w:pPr>
      <w:r>
        <w:rPr>
          <w:rStyle w:val="Appelnotedebasdep"/>
        </w:rPr>
        <w:footnoteRef/>
      </w:r>
      <w:hyperlink r:id="rId14" w:history="1">
        <w:r w:rsidRPr="0051269B">
          <w:rPr>
            <w:rStyle w:val="Lienhypertexte"/>
          </w:rPr>
          <w:t>https://tunisia.un.org/sites/default/files/2021-09/VNR_Report_Tunisia%202021.pdf</w:t>
        </w:r>
      </w:hyperlink>
    </w:p>
  </w:footnote>
  <w:footnote w:id="16">
    <w:p w:rsidR="00E33CF6" w:rsidRDefault="00E33CF6" w:rsidP="005A5585">
      <w:pPr>
        <w:pStyle w:val="Notedebasdepage"/>
      </w:pPr>
      <w:r>
        <w:rPr>
          <w:rStyle w:val="Appelnotedebasdep"/>
        </w:rPr>
        <w:footnoteRef/>
      </w:r>
      <w:hyperlink r:id="rId15" w:history="1">
        <w:r w:rsidRPr="0051269B">
          <w:rPr>
            <w:rStyle w:val="Lienhypertexte"/>
          </w:rPr>
          <w:t>https://www.ilo.org/publications/programme-par-pays-pour-la-promotion-du-travail-decent-2017-2022-de-la</w:t>
        </w:r>
      </w:hyperlink>
    </w:p>
  </w:footnote>
  <w:footnote w:id="17">
    <w:p w:rsidR="00E33CF6" w:rsidRDefault="00E33CF6">
      <w:pPr>
        <w:pStyle w:val="Notedebasdepage"/>
      </w:pPr>
      <w:r>
        <w:rPr>
          <w:rStyle w:val="Appelnotedebasdep"/>
        </w:rPr>
        <w:footnoteRef/>
      </w:r>
      <w:hyperlink r:id="rId16" w:history="1">
        <w:r w:rsidRPr="0051269B">
          <w:rPr>
            <w:rStyle w:val="Lienhypertexte"/>
          </w:rPr>
          <w:t>https://www.ilo.org/fr/projects-and-partnerships/projects/des-emplois-decents-pour-les-jeunes-et-les-femmes-une-approche-du</w:t>
        </w:r>
      </w:hyperlink>
    </w:p>
    <w:p w:rsidR="00E33CF6" w:rsidRDefault="00E33CF6">
      <w:pPr>
        <w:pStyle w:val="Notedebasdepage"/>
      </w:pPr>
    </w:p>
  </w:footnote>
  <w:footnote w:id="18">
    <w:p w:rsidR="00E33CF6" w:rsidRPr="00107C4F" w:rsidRDefault="00E33CF6" w:rsidP="00DD554E">
      <w:pPr>
        <w:pStyle w:val="Notedebasdepage"/>
      </w:pPr>
      <w:r>
        <w:rPr>
          <w:rStyle w:val="Appelnotedebasdep"/>
        </w:rPr>
        <w:footnoteRef/>
      </w:r>
      <w:hyperlink r:id="rId17" w:history="1">
        <w:r w:rsidRPr="00107C4F">
          <w:rPr>
            <w:rStyle w:val="Lienhypertexte"/>
          </w:rPr>
          <w:t>https://chaireterres.hypotheses.org/files/2024/03/Tunisie.pdf</w:t>
        </w:r>
      </w:hyperlink>
    </w:p>
  </w:footnote>
  <w:footnote w:id="19">
    <w:p w:rsidR="000E21A3" w:rsidRPr="000E21A3" w:rsidRDefault="000E21A3" w:rsidP="000E21A3">
      <w:pPr>
        <w:pStyle w:val="Notedebasdepage"/>
      </w:pPr>
      <w:r>
        <w:rPr>
          <w:rStyle w:val="Appelnotedebasdep"/>
        </w:rPr>
        <w:footnoteRef/>
      </w:r>
      <w:hyperlink r:id="rId18" w:history="1">
        <w:r w:rsidRPr="009B53D6">
          <w:rPr>
            <w:rStyle w:val="Lienhypertexte"/>
          </w:rPr>
          <w:t>http://www.gbo.tn/sites/default/files/2024-06/Note%20d%27orientation%20BSCCfr.pdf</w:t>
        </w:r>
      </w:hyperlink>
    </w:p>
  </w:footnote>
  <w:footnote w:id="20">
    <w:p w:rsidR="005D7EB5" w:rsidRPr="005D7EB5" w:rsidRDefault="005D7EB5" w:rsidP="005D7EB5">
      <w:pPr>
        <w:pStyle w:val="Notedebasdepage"/>
      </w:pPr>
      <w:r>
        <w:rPr>
          <w:rStyle w:val="Appelnotedebasdep"/>
        </w:rPr>
        <w:footnoteRef/>
      </w:r>
      <w:hyperlink r:id="rId19" w:history="1">
        <w:r w:rsidRPr="009B53D6">
          <w:rPr>
            <w:rStyle w:val="Lienhypertexte"/>
          </w:rPr>
          <w:t>https://www.ilo.org/fr/media/341871/download</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6416"/>
    <w:multiLevelType w:val="multilevel"/>
    <w:tmpl w:val="EC18E9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7F5CE3"/>
    <w:multiLevelType w:val="multilevel"/>
    <w:tmpl w:val="5E8232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4A26E4"/>
    <w:multiLevelType w:val="hybridMultilevel"/>
    <w:tmpl w:val="670E0B0C"/>
    <w:lvl w:ilvl="0" w:tplc="2BF238C6">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
    <w:nsid w:val="2C3C4271"/>
    <w:multiLevelType w:val="multilevel"/>
    <w:tmpl w:val="70E0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9C0135"/>
    <w:multiLevelType w:val="multilevel"/>
    <w:tmpl w:val="EA36C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AE2A9E"/>
    <w:multiLevelType w:val="hybridMultilevel"/>
    <w:tmpl w:val="D05CF4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453DA0"/>
    <w:multiLevelType w:val="multilevel"/>
    <w:tmpl w:val="D690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5C0E2D"/>
    <w:multiLevelType w:val="multilevel"/>
    <w:tmpl w:val="25DCB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5133BC"/>
    <w:multiLevelType w:val="hybridMultilevel"/>
    <w:tmpl w:val="D98EB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AC563B"/>
    <w:multiLevelType w:val="multilevel"/>
    <w:tmpl w:val="BA38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3B4102"/>
    <w:multiLevelType w:val="hybridMultilevel"/>
    <w:tmpl w:val="4D203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74B0FFD"/>
    <w:multiLevelType w:val="hybridMultilevel"/>
    <w:tmpl w:val="06D43F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A1A3649"/>
    <w:multiLevelType w:val="hybridMultilevel"/>
    <w:tmpl w:val="84DC65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D1A5204"/>
    <w:multiLevelType w:val="multilevel"/>
    <w:tmpl w:val="67AE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132664"/>
    <w:multiLevelType w:val="multilevel"/>
    <w:tmpl w:val="0614AA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67705B"/>
    <w:multiLevelType w:val="multilevel"/>
    <w:tmpl w:val="3134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112BDE"/>
    <w:multiLevelType w:val="multilevel"/>
    <w:tmpl w:val="245072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12"/>
  </w:num>
  <w:num w:numId="4">
    <w:abstractNumId w:val="5"/>
  </w:num>
  <w:num w:numId="5">
    <w:abstractNumId w:val="13"/>
  </w:num>
  <w:num w:numId="6">
    <w:abstractNumId w:val="4"/>
  </w:num>
  <w:num w:numId="7">
    <w:abstractNumId w:val="10"/>
  </w:num>
  <w:num w:numId="8">
    <w:abstractNumId w:val="11"/>
  </w:num>
  <w:num w:numId="9">
    <w:abstractNumId w:val="2"/>
  </w:num>
  <w:num w:numId="10">
    <w:abstractNumId w:val="14"/>
  </w:num>
  <w:num w:numId="11">
    <w:abstractNumId w:val="9"/>
  </w:num>
  <w:num w:numId="12">
    <w:abstractNumId w:val="0"/>
  </w:num>
  <w:num w:numId="13">
    <w:abstractNumId w:val="15"/>
  </w:num>
  <w:num w:numId="14">
    <w:abstractNumId w:val="1"/>
  </w:num>
  <w:num w:numId="15">
    <w:abstractNumId w:val="3"/>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7745"/>
    <w:rsid w:val="00012766"/>
    <w:rsid w:val="00012940"/>
    <w:rsid w:val="00034263"/>
    <w:rsid w:val="000640AA"/>
    <w:rsid w:val="00071376"/>
    <w:rsid w:val="00090EF3"/>
    <w:rsid w:val="0009226D"/>
    <w:rsid w:val="0009483D"/>
    <w:rsid w:val="000A26CB"/>
    <w:rsid w:val="000A3F10"/>
    <w:rsid w:val="000B7D4D"/>
    <w:rsid w:val="000C6041"/>
    <w:rsid w:val="000E21A3"/>
    <w:rsid w:val="00100519"/>
    <w:rsid w:val="00107C4F"/>
    <w:rsid w:val="00116FDE"/>
    <w:rsid w:val="00124955"/>
    <w:rsid w:val="00134464"/>
    <w:rsid w:val="00142990"/>
    <w:rsid w:val="0015436E"/>
    <w:rsid w:val="00167128"/>
    <w:rsid w:val="00175206"/>
    <w:rsid w:val="00190F54"/>
    <w:rsid w:val="001A1F6E"/>
    <w:rsid w:val="001A21D4"/>
    <w:rsid w:val="001A6DFE"/>
    <w:rsid w:val="001B219F"/>
    <w:rsid w:val="001B2B0A"/>
    <w:rsid w:val="001B6D1E"/>
    <w:rsid w:val="001C0E71"/>
    <w:rsid w:val="001D02CD"/>
    <w:rsid w:val="001F0D1A"/>
    <w:rsid w:val="001F7E6C"/>
    <w:rsid w:val="002040BB"/>
    <w:rsid w:val="00241DE3"/>
    <w:rsid w:val="0025792F"/>
    <w:rsid w:val="00277BB9"/>
    <w:rsid w:val="002802D7"/>
    <w:rsid w:val="00295657"/>
    <w:rsid w:val="00297BFE"/>
    <w:rsid w:val="002A4F70"/>
    <w:rsid w:val="002A7562"/>
    <w:rsid w:val="002C2D55"/>
    <w:rsid w:val="002E7C4F"/>
    <w:rsid w:val="002F50E8"/>
    <w:rsid w:val="00313AAA"/>
    <w:rsid w:val="00325667"/>
    <w:rsid w:val="003357FC"/>
    <w:rsid w:val="0034275F"/>
    <w:rsid w:val="00344027"/>
    <w:rsid w:val="00361948"/>
    <w:rsid w:val="003622F0"/>
    <w:rsid w:val="003661BA"/>
    <w:rsid w:val="003715E6"/>
    <w:rsid w:val="003817A0"/>
    <w:rsid w:val="00390004"/>
    <w:rsid w:val="003936E9"/>
    <w:rsid w:val="003A2251"/>
    <w:rsid w:val="003B39EB"/>
    <w:rsid w:val="003B70E5"/>
    <w:rsid w:val="003C44A8"/>
    <w:rsid w:val="003C691A"/>
    <w:rsid w:val="003D0D21"/>
    <w:rsid w:val="003E0EF4"/>
    <w:rsid w:val="003E6F25"/>
    <w:rsid w:val="003F2538"/>
    <w:rsid w:val="003F2F5C"/>
    <w:rsid w:val="003F76D9"/>
    <w:rsid w:val="0040481E"/>
    <w:rsid w:val="004052F0"/>
    <w:rsid w:val="00417BD9"/>
    <w:rsid w:val="004307E6"/>
    <w:rsid w:val="004460D2"/>
    <w:rsid w:val="00465B38"/>
    <w:rsid w:val="004926E8"/>
    <w:rsid w:val="004A44DE"/>
    <w:rsid w:val="004B215E"/>
    <w:rsid w:val="004B46F4"/>
    <w:rsid w:val="004C768D"/>
    <w:rsid w:val="004D0783"/>
    <w:rsid w:val="004E03CE"/>
    <w:rsid w:val="00503048"/>
    <w:rsid w:val="00507BF4"/>
    <w:rsid w:val="005217E7"/>
    <w:rsid w:val="005229B5"/>
    <w:rsid w:val="005252CC"/>
    <w:rsid w:val="00534CEA"/>
    <w:rsid w:val="0057512D"/>
    <w:rsid w:val="00576894"/>
    <w:rsid w:val="005779E4"/>
    <w:rsid w:val="00580982"/>
    <w:rsid w:val="00580FD2"/>
    <w:rsid w:val="0058773D"/>
    <w:rsid w:val="005902E1"/>
    <w:rsid w:val="005902E8"/>
    <w:rsid w:val="00592DAA"/>
    <w:rsid w:val="005A5585"/>
    <w:rsid w:val="005B1F88"/>
    <w:rsid w:val="005C7151"/>
    <w:rsid w:val="005D7745"/>
    <w:rsid w:val="005D7EB5"/>
    <w:rsid w:val="005E4B79"/>
    <w:rsid w:val="005F3937"/>
    <w:rsid w:val="005F6450"/>
    <w:rsid w:val="006074E2"/>
    <w:rsid w:val="00612EA3"/>
    <w:rsid w:val="00622AD0"/>
    <w:rsid w:val="00630C5C"/>
    <w:rsid w:val="006315D3"/>
    <w:rsid w:val="0063764F"/>
    <w:rsid w:val="0064740C"/>
    <w:rsid w:val="00655155"/>
    <w:rsid w:val="006608D6"/>
    <w:rsid w:val="00674CF3"/>
    <w:rsid w:val="00697478"/>
    <w:rsid w:val="00697A2F"/>
    <w:rsid w:val="006A782B"/>
    <w:rsid w:val="006B7E5D"/>
    <w:rsid w:val="006D0613"/>
    <w:rsid w:val="006D144A"/>
    <w:rsid w:val="006F43DC"/>
    <w:rsid w:val="00703D6D"/>
    <w:rsid w:val="0072463E"/>
    <w:rsid w:val="007329E1"/>
    <w:rsid w:val="00734395"/>
    <w:rsid w:val="00736E55"/>
    <w:rsid w:val="00736FD6"/>
    <w:rsid w:val="00747C57"/>
    <w:rsid w:val="0075797D"/>
    <w:rsid w:val="007613C7"/>
    <w:rsid w:val="0076548A"/>
    <w:rsid w:val="007667E0"/>
    <w:rsid w:val="00774AE9"/>
    <w:rsid w:val="00783B46"/>
    <w:rsid w:val="00784292"/>
    <w:rsid w:val="00787BD3"/>
    <w:rsid w:val="00793231"/>
    <w:rsid w:val="007A4283"/>
    <w:rsid w:val="007A4EC5"/>
    <w:rsid w:val="007D6E4E"/>
    <w:rsid w:val="007E646D"/>
    <w:rsid w:val="007F2E7F"/>
    <w:rsid w:val="00800472"/>
    <w:rsid w:val="00811815"/>
    <w:rsid w:val="00814191"/>
    <w:rsid w:val="008229B5"/>
    <w:rsid w:val="00831BBA"/>
    <w:rsid w:val="00834ADD"/>
    <w:rsid w:val="008370FB"/>
    <w:rsid w:val="008419B2"/>
    <w:rsid w:val="00855EBE"/>
    <w:rsid w:val="00867163"/>
    <w:rsid w:val="00890966"/>
    <w:rsid w:val="00890B27"/>
    <w:rsid w:val="008D2C9A"/>
    <w:rsid w:val="00903797"/>
    <w:rsid w:val="0090767B"/>
    <w:rsid w:val="00922B68"/>
    <w:rsid w:val="00963879"/>
    <w:rsid w:val="009807CE"/>
    <w:rsid w:val="00981E2E"/>
    <w:rsid w:val="009857D2"/>
    <w:rsid w:val="00990615"/>
    <w:rsid w:val="00990C6B"/>
    <w:rsid w:val="009A3602"/>
    <w:rsid w:val="009A5AFA"/>
    <w:rsid w:val="009C0A4D"/>
    <w:rsid w:val="009C46CF"/>
    <w:rsid w:val="009D538D"/>
    <w:rsid w:val="009D6022"/>
    <w:rsid w:val="009E06B5"/>
    <w:rsid w:val="009E4549"/>
    <w:rsid w:val="009F4A4D"/>
    <w:rsid w:val="009F7261"/>
    <w:rsid w:val="00A031F1"/>
    <w:rsid w:val="00A05AFA"/>
    <w:rsid w:val="00A1207E"/>
    <w:rsid w:val="00A309F1"/>
    <w:rsid w:val="00A34449"/>
    <w:rsid w:val="00A35207"/>
    <w:rsid w:val="00A401AA"/>
    <w:rsid w:val="00A4530B"/>
    <w:rsid w:val="00A54556"/>
    <w:rsid w:val="00A86EBA"/>
    <w:rsid w:val="00AA6219"/>
    <w:rsid w:val="00AA7870"/>
    <w:rsid w:val="00AC0323"/>
    <w:rsid w:val="00AF3AC4"/>
    <w:rsid w:val="00B002CF"/>
    <w:rsid w:val="00B35773"/>
    <w:rsid w:val="00B409D8"/>
    <w:rsid w:val="00B4307C"/>
    <w:rsid w:val="00B53C6A"/>
    <w:rsid w:val="00B67FB8"/>
    <w:rsid w:val="00B86B04"/>
    <w:rsid w:val="00B92E6B"/>
    <w:rsid w:val="00BB2771"/>
    <w:rsid w:val="00BC013E"/>
    <w:rsid w:val="00BD7B1C"/>
    <w:rsid w:val="00C42383"/>
    <w:rsid w:val="00C438C0"/>
    <w:rsid w:val="00C503FF"/>
    <w:rsid w:val="00C75BC8"/>
    <w:rsid w:val="00C83DB3"/>
    <w:rsid w:val="00C87D73"/>
    <w:rsid w:val="00CC6765"/>
    <w:rsid w:val="00CE6A1C"/>
    <w:rsid w:val="00D00D96"/>
    <w:rsid w:val="00D30A7E"/>
    <w:rsid w:val="00D33093"/>
    <w:rsid w:val="00D41B99"/>
    <w:rsid w:val="00D72E89"/>
    <w:rsid w:val="00D7642D"/>
    <w:rsid w:val="00D777F6"/>
    <w:rsid w:val="00D77F16"/>
    <w:rsid w:val="00D86329"/>
    <w:rsid w:val="00DA2757"/>
    <w:rsid w:val="00DA4D51"/>
    <w:rsid w:val="00DC2ACB"/>
    <w:rsid w:val="00DC2B1B"/>
    <w:rsid w:val="00DC2F67"/>
    <w:rsid w:val="00DC55F0"/>
    <w:rsid w:val="00DD554E"/>
    <w:rsid w:val="00DD6742"/>
    <w:rsid w:val="00DF3A51"/>
    <w:rsid w:val="00DF6619"/>
    <w:rsid w:val="00E15A0F"/>
    <w:rsid w:val="00E1672A"/>
    <w:rsid w:val="00E22007"/>
    <w:rsid w:val="00E33CF6"/>
    <w:rsid w:val="00E45F48"/>
    <w:rsid w:val="00E53903"/>
    <w:rsid w:val="00E5448E"/>
    <w:rsid w:val="00E5546C"/>
    <w:rsid w:val="00E56D6C"/>
    <w:rsid w:val="00E64183"/>
    <w:rsid w:val="00E65C0E"/>
    <w:rsid w:val="00E66787"/>
    <w:rsid w:val="00E70618"/>
    <w:rsid w:val="00E90268"/>
    <w:rsid w:val="00E909FB"/>
    <w:rsid w:val="00E96163"/>
    <w:rsid w:val="00ED32B0"/>
    <w:rsid w:val="00ED6F89"/>
    <w:rsid w:val="00EF7745"/>
    <w:rsid w:val="00F06EF6"/>
    <w:rsid w:val="00F077D4"/>
    <w:rsid w:val="00F16B43"/>
    <w:rsid w:val="00F17B32"/>
    <w:rsid w:val="00F2035C"/>
    <w:rsid w:val="00F254D2"/>
    <w:rsid w:val="00F27C23"/>
    <w:rsid w:val="00F27F8A"/>
    <w:rsid w:val="00F37FB0"/>
    <w:rsid w:val="00F45FC6"/>
    <w:rsid w:val="00F477A7"/>
    <w:rsid w:val="00F52FE9"/>
    <w:rsid w:val="00F55413"/>
    <w:rsid w:val="00F61C99"/>
    <w:rsid w:val="00FE3E1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A7E"/>
  </w:style>
  <w:style w:type="paragraph" w:styleId="Titre1">
    <w:name w:val="heading 1"/>
    <w:basedOn w:val="Normal"/>
    <w:next w:val="Normal"/>
    <w:link w:val="Titre1Car"/>
    <w:uiPriority w:val="9"/>
    <w:qFormat/>
    <w:rsid w:val="00612EA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612EA3"/>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3B70E5"/>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hitespace-pre-wrap">
    <w:name w:val="whitespace-pre-wrap"/>
    <w:basedOn w:val="Normal"/>
    <w:rsid w:val="005D77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7842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84292"/>
    <w:rPr>
      <w:sz w:val="20"/>
      <w:szCs w:val="20"/>
    </w:rPr>
  </w:style>
  <w:style w:type="character" w:styleId="Appelnotedebasdep">
    <w:name w:val="footnote reference"/>
    <w:basedOn w:val="Policepardfaut"/>
    <w:uiPriority w:val="99"/>
    <w:semiHidden/>
    <w:unhideWhenUsed/>
    <w:rsid w:val="00784292"/>
    <w:rPr>
      <w:vertAlign w:val="superscript"/>
    </w:rPr>
  </w:style>
  <w:style w:type="character" w:styleId="Lienhypertexte">
    <w:name w:val="Hyperlink"/>
    <w:basedOn w:val="Policepardfaut"/>
    <w:uiPriority w:val="99"/>
    <w:unhideWhenUsed/>
    <w:rsid w:val="00784292"/>
    <w:rPr>
      <w:color w:val="0563C1" w:themeColor="hyperlink"/>
      <w:u w:val="single"/>
    </w:rPr>
  </w:style>
  <w:style w:type="paragraph" w:styleId="Paragraphedeliste">
    <w:name w:val="List Paragraph"/>
    <w:basedOn w:val="Normal"/>
    <w:uiPriority w:val="34"/>
    <w:qFormat/>
    <w:rsid w:val="00D86329"/>
    <w:pPr>
      <w:ind w:left="720"/>
      <w:contextualSpacing/>
    </w:pPr>
  </w:style>
  <w:style w:type="character" w:customStyle="1" w:styleId="Titre1Car">
    <w:name w:val="Titre 1 Car"/>
    <w:basedOn w:val="Policepardfaut"/>
    <w:link w:val="Titre1"/>
    <w:uiPriority w:val="9"/>
    <w:rsid w:val="00612EA3"/>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rsid w:val="00612EA3"/>
    <w:rPr>
      <w:rFonts w:asciiTheme="majorHAnsi" w:eastAsiaTheme="majorEastAsia" w:hAnsiTheme="majorHAnsi" w:cstheme="majorBidi"/>
      <w:b/>
      <w:bCs/>
      <w:color w:val="5B9BD5" w:themeColor="accent1"/>
      <w:sz w:val="26"/>
      <w:szCs w:val="26"/>
    </w:rPr>
  </w:style>
  <w:style w:type="paragraph" w:styleId="PrformatHTML">
    <w:name w:val="HTML Preformatted"/>
    <w:basedOn w:val="Normal"/>
    <w:link w:val="PrformatHTMLCar"/>
    <w:uiPriority w:val="99"/>
    <w:unhideWhenUsed/>
    <w:rsid w:val="00612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612EA3"/>
    <w:rPr>
      <w:rFonts w:ascii="Courier New" w:eastAsia="Times New Roman" w:hAnsi="Courier New" w:cs="Courier New"/>
      <w:sz w:val="20"/>
      <w:szCs w:val="20"/>
      <w:lang w:eastAsia="fr-FR"/>
    </w:rPr>
  </w:style>
  <w:style w:type="character" w:customStyle="1" w:styleId="y2iqfc">
    <w:name w:val="y2iqfc"/>
    <w:basedOn w:val="Policepardfaut"/>
    <w:rsid w:val="00612EA3"/>
  </w:style>
  <w:style w:type="character" w:styleId="Lienhypertextesuivivisit">
    <w:name w:val="FollowedHyperlink"/>
    <w:basedOn w:val="Policepardfaut"/>
    <w:uiPriority w:val="99"/>
    <w:semiHidden/>
    <w:unhideWhenUsed/>
    <w:rsid w:val="00E70618"/>
    <w:rPr>
      <w:color w:val="954F72" w:themeColor="followedHyperlink"/>
      <w:u w:val="single"/>
    </w:rPr>
  </w:style>
  <w:style w:type="paragraph" w:styleId="Explorateurdedocuments">
    <w:name w:val="Document Map"/>
    <w:basedOn w:val="Normal"/>
    <w:link w:val="ExplorateurdedocumentsCar"/>
    <w:uiPriority w:val="99"/>
    <w:semiHidden/>
    <w:unhideWhenUsed/>
    <w:rsid w:val="00831BBA"/>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831BBA"/>
    <w:rPr>
      <w:rFonts w:ascii="Tahoma" w:hAnsi="Tahoma" w:cs="Tahoma"/>
      <w:sz w:val="16"/>
      <w:szCs w:val="16"/>
    </w:rPr>
  </w:style>
  <w:style w:type="character" w:styleId="Accentuation">
    <w:name w:val="Emphasis"/>
    <w:basedOn w:val="Policepardfaut"/>
    <w:uiPriority w:val="20"/>
    <w:qFormat/>
    <w:rsid w:val="005A5585"/>
    <w:rPr>
      <w:i/>
      <w:iCs/>
    </w:rPr>
  </w:style>
  <w:style w:type="character" w:customStyle="1" w:styleId="Titre3Car">
    <w:name w:val="Titre 3 Car"/>
    <w:basedOn w:val="Policepardfaut"/>
    <w:link w:val="Titre3"/>
    <w:uiPriority w:val="9"/>
    <w:semiHidden/>
    <w:rsid w:val="003B70E5"/>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41634194">
      <w:bodyDiv w:val="1"/>
      <w:marLeft w:val="0"/>
      <w:marRight w:val="0"/>
      <w:marTop w:val="0"/>
      <w:marBottom w:val="0"/>
      <w:divBdr>
        <w:top w:val="none" w:sz="0" w:space="0" w:color="auto"/>
        <w:left w:val="none" w:sz="0" w:space="0" w:color="auto"/>
        <w:bottom w:val="none" w:sz="0" w:space="0" w:color="auto"/>
        <w:right w:val="none" w:sz="0" w:space="0" w:color="auto"/>
      </w:divBdr>
    </w:div>
    <w:div w:id="81074995">
      <w:bodyDiv w:val="1"/>
      <w:marLeft w:val="0"/>
      <w:marRight w:val="0"/>
      <w:marTop w:val="0"/>
      <w:marBottom w:val="0"/>
      <w:divBdr>
        <w:top w:val="none" w:sz="0" w:space="0" w:color="auto"/>
        <w:left w:val="none" w:sz="0" w:space="0" w:color="auto"/>
        <w:bottom w:val="none" w:sz="0" w:space="0" w:color="auto"/>
        <w:right w:val="none" w:sz="0" w:space="0" w:color="auto"/>
      </w:divBdr>
    </w:div>
    <w:div w:id="86586012">
      <w:bodyDiv w:val="1"/>
      <w:marLeft w:val="0"/>
      <w:marRight w:val="0"/>
      <w:marTop w:val="0"/>
      <w:marBottom w:val="0"/>
      <w:divBdr>
        <w:top w:val="none" w:sz="0" w:space="0" w:color="auto"/>
        <w:left w:val="none" w:sz="0" w:space="0" w:color="auto"/>
        <w:bottom w:val="none" w:sz="0" w:space="0" w:color="auto"/>
        <w:right w:val="none" w:sz="0" w:space="0" w:color="auto"/>
      </w:divBdr>
    </w:div>
    <w:div w:id="164247338">
      <w:bodyDiv w:val="1"/>
      <w:marLeft w:val="0"/>
      <w:marRight w:val="0"/>
      <w:marTop w:val="0"/>
      <w:marBottom w:val="0"/>
      <w:divBdr>
        <w:top w:val="none" w:sz="0" w:space="0" w:color="auto"/>
        <w:left w:val="none" w:sz="0" w:space="0" w:color="auto"/>
        <w:bottom w:val="none" w:sz="0" w:space="0" w:color="auto"/>
        <w:right w:val="none" w:sz="0" w:space="0" w:color="auto"/>
      </w:divBdr>
    </w:div>
    <w:div w:id="167989041">
      <w:bodyDiv w:val="1"/>
      <w:marLeft w:val="0"/>
      <w:marRight w:val="0"/>
      <w:marTop w:val="0"/>
      <w:marBottom w:val="0"/>
      <w:divBdr>
        <w:top w:val="none" w:sz="0" w:space="0" w:color="auto"/>
        <w:left w:val="none" w:sz="0" w:space="0" w:color="auto"/>
        <w:bottom w:val="none" w:sz="0" w:space="0" w:color="auto"/>
        <w:right w:val="none" w:sz="0" w:space="0" w:color="auto"/>
      </w:divBdr>
    </w:div>
    <w:div w:id="312569539">
      <w:bodyDiv w:val="1"/>
      <w:marLeft w:val="0"/>
      <w:marRight w:val="0"/>
      <w:marTop w:val="0"/>
      <w:marBottom w:val="0"/>
      <w:divBdr>
        <w:top w:val="none" w:sz="0" w:space="0" w:color="auto"/>
        <w:left w:val="none" w:sz="0" w:space="0" w:color="auto"/>
        <w:bottom w:val="none" w:sz="0" w:space="0" w:color="auto"/>
        <w:right w:val="none" w:sz="0" w:space="0" w:color="auto"/>
      </w:divBdr>
    </w:div>
    <w:div w:id="399327897">
      <w:bodyDiv w:val="1"/>
      <w:marLeft w:val="0"/>
      <w:marRight w:val="0"/>
      <w:marTop w:val="0"/>
      <w:marBottom w:val="0"/>
      <w:divBdr>
        <w:top w:val="none" w:sz="0" w:space="0" w:color="auto"/>
        <w:left w:val="none" w:sz="0" w:space="0" w:color="auto"/>
        <w:bottom w:val="none" w:sz="0" w:space="0" w:color="auto"/>
        <w:right w:val="none" w:sz="0" w:space="0" w:color="auto"/>
      </w:divBdr>
    </w:div>
    <w:div w:id="619579672">
      <w:bodyDiv w:val="1"/>
      <w:marLeft w:val="0"/>
      <w:marRight w:val="0"/>
      <w:marTop w:val="0"/>
      <w:marBottom w:val="0"/>
      <w:divBdr>
        <w:top w:val="none" w:sz="0" w:space="0" w:color="auto"/>
        <w:left w:val="none" w:sz="0" w:space="0" w:color="auto"/>
        <w:bottom w:val="none" w:sz="0" w:space="0" w:color="auto"/>
        <w:right w:val="none" w:sz="0" w:space="0" w:color="auto"/>
      </w:divBdr>
    </w:div>
    <w:div w:id="870727935">
      <w:bodyDiv w:val="1"/>
      <w:marLeft w:val="0"/>
      <w:marRight w:val="0"/>
      <w:marTop w:val="0"/>
      <w:marBottom w:val="0"/>
      <w:divBdr>
        <w:top w:val="none" w:sz="0" w:space="0" w:color="auto"/>
        <w:left w:val="none" w:sz="0" w:space="0" w:color="auto"/>
        <w:bottom w:val="none" w:sz="0" w:space="0" w:color="auto"/>
        <w:right w:val="none" w:sz="0" w:space="0" w:color="auto"/>
      </w:divBdr>
    </w:div>
    <w:div w:id="1078869948">
      <w:bodyDiv w:val="1"/>
      <w:marLeft w:val="0"/>
      <w:marRight w:val="0"/>
      <w:marTop w:val="0"/>
      <w:marBottom w:val="0"/>
      <w:divBdr>
        <w:top w:val="none" w:sz="0" w:space="0" w:color="auto"/>
        <w:left w:val="none" w:sz="0" w:space="0" w:color="auto"/>
        <w:bottom w:val="none" w:sz="0" w:space="0" w:color="auto"/>
        <w:right w:val="none" w:sz="0" w:space="0" w:color="auto"/>
      </w:divBdr>
    </w:div>
    <w:div w:id="1251889741">
      <w:bodyDiv w:val="1"/>
      <w:marLeft w:val="0"/>
      <w:marRight w:val="0"/>
      <w:marTop w:val="0"/>
      <w:marBottom w:val="0"/>
      <w:divBdr>
        <w:top w:val="none" w:sz="0" w:space="0" w:color="auto"/>
        <w:left w:val="none" w:sz="0" w:space="0" w:color="auto"/>
        <w:bottom w:val="none" w:sz="0" w:space="0" w:color="auto"/>
        <w:right w:val="none" w:sz="0" w:space="0" w:color="auto"/>
      </w:divBdr>
    </w:div>
    <w:div w:id="1258251637">
      <w:bodyDiv w:val="1"/>
      <w:marLeft w:val="0"/>
      <w:marRight w:val="0"/>
      <w:marTop w:val="0"/>
      <w:marBottom w:val="0"/>
      <w:divBdr>
        <w:top w:val="none" w:sz="0" w:space="0" w:color="auto"/>
        <w:left w:val="none" w:sz="0" w:space="0" w:color="auto"/>
        <w:bottom w:val="none" w:sz="0" w:space="0" w:color="auto"/>
        <w:right w:val="none" w:sz="0" w:space="0" w:color="auto"/>
      </w:divBdr>
    </w:div>
    <w:div w:id="1392582619">
      <w:bodyDiv w:val="1"/>
      <w:marLeft w:val="0"/>
      <w:marRight w:val="0"/>
      <w:marTop w:val="0"/>
      <w:marBottom w:val="0"/>
      <w:divBdr>
        <w:top w:val="none" w:sz="0" w:space="0" w:color="auto"/>
        <w:left w:val="none" w:sz="0" w:space="0" w:color="auto"/>
        <w:bottom w:val="none" w:sz="0" w:space="0" w:color="auto"/>
        <w:right w:val="none" w:sz="0" w:space="0" w:color="auto"/>
      </w:divBdr>
    </w:div>
    <w:div w:id="1498690713">
      <w:bodyDiv w:val="1"/>
      <w:marLeft w:val="0"/>
      <w:marRight w:val="0"/>
      <w:marTop w:val="0"/>
      <w:marBottom w:val="0"/>
      <w:divBdr>
        <w:top w:val="none" w:sz="0" w:space="0" w:color="auto"/>
        <w:left w:val="none" w:sz="0" w:space="0" w:color="auto"/>
        <w:bottom w:val="none" w:sz="0" w:space="0" w:color="auto"/>
        <w:right w:val="none" w:sz="0" w:space="0" w:color="auto"/>
      </w:divBdr>
    </w:div>
    <w:div w:id="1513252432">
      <w:bodyDiv w:val="1"/>
      <w:marLeft w:val="0"/>
      <w:marRight w:val="0"/>
      <w:marTop w:val="0"/>
      <w:marBottom w:val="0"/>
      <w:divBdr>
        <w:top w:val="none" w:sz="0" w:space="0" w:color="auto"/>
        <w:left w:val="none" w:sz="0" w:space="0" w:color="auto"/>
        <w:bottom w:val="none" w:sz="0" w:space="0" w:color="auto"/>
        <w:right w:val="none" w:sz="0" w:space="0" w:color="auto"/>
      </w:divBdr>
    </w:div>
    <w:div w:id="1607690086">
      <w:bodyDiv w:val="1"/>
      <w:marLeft w:val="0"/>
      <w:marRight w:val="0"/>
      <w:marTop w:val="0"/>
      <w:marBottom w:val="0"/>
      <w:divBdr>
        <w:top w:val="none" w:sz="0" w:space="0" w:color="auto"/>
        <w:left w:val="none" w:sz="0" w:space="0" w:color="auto"/>
        <w:bottom w:val="none" w:sz="0" w:space="0" w:color="auto"/>
        <w:right w:val="none" w:sz="0" w:space="0" w:color="auto"/>
      </w:divBdr>
    </w:div>
    <w:div w:id="1628393790">
      <w:bodyDiv w:val="1"/>
      <w:marLeft w:val="0"/>
      <w:marRight w:val="0"/>
      <w:marTop w:val="0"/>
      <w:marBottom w:val="0"/>
      <w:divBdr>
        <w:top w:val="none" w:sz="0" w:space="0" w:color="auto"/>
        <w:left w:val="none" w:sz="0" w:space="0" w:color="auto"/>
        <w:bottom w:val="none" w:sz="0" w:space="0" w:color="auto"/>
        <w:right w:val="none" w:sz="0" w:space="0" w:color="auto"/>
      </w:divBdr>
    </w:div>
    <w:div w:id="1823303672">
      <w:bodyDiv w:val="1"/>
      <w:marLeft w:val="0"/>
      <w:marRight w:val="0"/>
      <w:marTop w:val="0"/>
      <w:marBottom w:val="0"/>
      <w:divBdr>
        <w:top w:val="none" w:sz="0" w:space="0" w:color="auto"/>
        <w:left w:val="none" w:sz="0" w:space="0" w:color="auto"/>
        <w:bottom w:val="none" w:sz="0" w:space="0" w:color="auto"/>
        <w:right w:val="none" w:sz="0" w:space="0" w:color="auto"/>
      </w:divBdr>
    </w:div>
    <w:div w:id="1921212635">
      <w:bodyDiv w:val="1"/>
      <w:marLeft w:val="0"/>
      <w:marRight w:val="0"/>
      <w:marTop w:val="0"/>
      <w:marBottom w:val="0"/>
      <w:divBdr>
        <w:top w:val="none" w:sz="0" w:space="0" w:color="auto"/>
        <w:left w:val="none" w:sz="0" w:space="0" w:color="auto"/>
        <w:bottom w:val="none" w:sz="0" w:space="0" w:color="auto"/>
        <w:right w:val="none" w:sz="0" w:space="0" w:color="auto"/>
      </w:divBdr>
    </w:div>
    <w:div w:id="2037189354">
      <w:bodyDiv w:val="1"/>
      <w:marLeft w:val="0"/>
      <w:marRight w:val="0"/>
      <w:marTop w:val="0"/>
      <w:marBottom w:val="0"/>
      <w:divBdr>
        <w:top w:val="none" w:sz="0" w:space="0" w:color="auto"/>
        <w:left w:val="none" w:sz="0" w:space="0" w:color="auto"/>
        <w:bottom w:val="none" w:sz="0" w:space="0" w:color="auto"/>
        <w:right w:val="none" w:sz="0" w:space="0" w:color="auto"/>
      </w:divBdr>
    </w:div>
    <w:div w:id="207357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un.org/doc/undoc/gen/n15/291/90/pdf/n1529190.pdf" TargetMode="External"/><Relationship Id="rId13" Type="http://schemas.openxmlformats.org/officeDocument/2006/relationships/hyperlink" Target="https://s3.amazonaws.com/sustainabledevelopment.report/2024/sustainable-development-report-2024.pdf" TargetMode="External"/><Relationship Id="rId18" Type="http://schemas.openxmlformats.org/officeDocument/2006/relationships/hyperlink" Target="https://dashboards.sdgindex.org/profiles/tunisia" TargetMode="External"/><Relationship Id="rId26" Type="http://schemas.openxmlformats.org/officeDocument/2006/relationships/hyperlink" Target="https://www.ilo.org/fr/media/341871/download" TargetMode="External"/><Relationship Id="rId3" Type="http://schemas.openxmlformats.org/officeDocument/2006/relationships/styles" Target="styles.xml"/><Relationship Id="rId21" Type="http://schemas.openxmlformats.org/officeDocument/2006/relationships/hyperlink" Target="https://tunisia.un.org/sites/default/files/2021-09/VNR_Report_Tunisia%202021.pdf" TargetMode="External"/><Relationship Id="rId7" Type="http://schemas.openxmlformats.org/officeDocument/2006/relationships/endnotes" Target="endnotes.xml"/><Relationship Id="rId12" Type="http://schemas.openxmlformats.org/officeDocument/2006/relationships/hyperlink" Target="https://dashboards.sdgindex.org/profiles/tunisia" TargetMode="External"/><Relationship Id="rId17" Type="http://schemas.openxmlformats.org/officeDocument/2006/relationships/hyperlink" Target="https://tunisia.un.org/fr/sdgs" TargetMode="External"/><Relationship Id="rId25" Type="http://schemas.openxmlformats.org/officeDocument/2006/relationships/hyperlink" Target="http://www.gbo.tn/sites/default/files/2024-06/Note%20d%27orientation%20BSCCfr.pdf" TargetMode="External"/><Relationship Id="rId2" Type="http://schemas.openxmlformats.org/officeDocument/2006/relationships/numbering" Target="numbering.xml"/><Relationship Id="rId16" Type="http://schemas.openxmlformats.org/officeDocument/2006/relationships/hyperlink" Target="https://www.unicef.org/tunisia/media/6441/file/Re%CC%81sume%CC%81-exe%CC%81cutif-analyse-sectorielle.pdf" TargetMode="External"/><Relationship Id="rId20" Type="http://schemas.openxmlformats.org/officeDocument/2006/relationships/hyperlink" Target="https://www.environnement.gov.tn/developpement-durable/la-concretisation-juridique-et-institutionnelle-du-developpement-durable/commission-nationale-du-developpement-durable-cn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bo.tn/sites/default/files/2021-09/brochure-ODD-TN%20%281%29.pdf" TargetMode="External"/><Relationship Id="rId24" Type="http://schemas.openxmlformats.org/officeDocument/2006/relationships/hyperlink" Target="https://chaireterres.hypotheses.org/files/2024/03/Tunisie.pdf" TargetMode="External"/><Relationship Id="rId5" Type="http://schemas.openxmlformats.org/officeDocument/2006/relationships/webSettings" Target="webSettings.xml"/><Relationship Id="rId15" Type="http://schemas.openxmlformats.org/officeDocument/2006/relationships/hyperlink" Target="https://www.ins.tn/statistiques/110" TargetMode="External"/><Relationship Id="rId23" Type="http://schemas.openxmlformats.org/officeDocument/2006/relationships/hyperlink" Target="https://www.ilo.org/fr/projects-and-partnerships/projects/des-emplois-decents-pour-les-jeunes-et-les-femmes-une-approche-du" TargetMode="External"/><Relationship Id="rId28" Type="http://schemas.openxmlformats.org/officeDocument/2006/relationships/theme" Target="theme/theme1.xml"/><Relationship Id="rId10" Type="http://schemas.openxmlformats.org/officeDocument/2006/relationships/hyperlink" Target="https://sdgcompass.org/wp-content/uploads/2016/09/SDG_Compass_Guide_France.pdf" TargetMode="External"/><Relationship Id="rId19" Type="http://schemas.openxmlformats.org/officeDocument/2006/relationships/hyperlink" Target="https://tunisia.un.org/sites/default/files/2021-09/VNR_Report_Tunisia%202021.pdf" TargetMode="External"/><Relationship Id="rId4" Type="http://schemas.openxmlformats.org/officeDocument/2006/relationships/settings" Target="settings.xml"/><Relationship Id="rId9" Type="http://schemas.openxmlformats.org/officeDocument/2006/relationships/hyperlink" Target="https://www.environnement.gov.tn/developpement-durable/dossiers-planetaires-du-developpement-durable/les-objectifs-de-developpement-durable-odd" TargetMode="External"/><Relationship Id="rId14" Type="http://schemas.openxmlformats.org/officeDocument/2006/relationships/hyperlink" Target="https://www.ins.tn/publication/indicateurs-de-lemploi-et-du-chomage-deuxieme-trimestre-2023" TargetMode="External"/><Relationship Id="rId22" Type="http://schemas.openxmlformats.org/officeDocument/2006/relationships/hyperlink" Target="https://www.ilo.org/publications/programme-par-pays-pour-la-promotion-du-travail-decent-2017-2022-de-l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ns.tn/statistiques/110" TargetMode="External"/><Relationship Id="rId13" Type="http://schemas.openxmlformats.org/officeDocument/2006/relationships/hyperlink" Target="https://www.environnement.gov.tn/developpement-durable/la-concretisation-juridique-et-institutionnelle-du-developpement-durable/commission-nationale-du-developpement-durable-cndd" TargetMode="External"/><Relationship Id="rId18" Type="http://schemas.openxmlformats.org/officeDocument/2006/relationships/hyperlink" Target="http://www.gbo.tn/sites/default/files/2024-06/Note%20d%27orientation%20BSCCfr.pdf" TargetMode="External"/><Relationship Id="rId3" Type="http://schemas.openxmlformats.org/officeDocument/2006/relationships/hyperlink" Target="https://sdgcompass.org/wp-content/uploads/2016/09/SDG_Compass_Guide_France.pdf" TargetMode="External"/><Relationship Id="rId7" Type="http://schemas.openxmlformats.org/officeDocument/2006/relationships/hyperlink" Target="https://www.ins.tn/publication/indicateurs-de-lemploi-et-du-chomage-deuxieme-trimestre-2023" TargetMode="External"/><Relationship Id="rId12" Type="http://schemas.openxmlformats.org/officeDocument/2006/relationships/hyperlink" Target="https://tunisia.un.org/sites/default/files/2021-09/VNR_Report_Tunisia%202021.pdf" TargetMode="External"/><Relationship Id="rId17" Type="http://schemas.openxmlformats.org/officeDocument/2006/relationships/hyperlink" Target="https://chaireterres.hypotheses.org/files/2024/03/Tunisie.pdf" TargetMode="External"/><Relationship Id="rId2" Type="http://schemas.openxmlformats.org/officeDocument/2006/relationships/hyperlink" Target="https://www.environnement.gov.tn/developpement-durable/dossiers-planetaires-du-developpement-durable/les-objectifs-de-developpement-durable-odd" TargetMode="External"/><Relationship Id="rId16" Type="http://schemas.openxmlformats.org/officeDocument/2006/relationships/hyperlink" Target="https://www.ilo.org/fr/projects-and-partnerships/projects/des-emplois-decents-pour-les-jeunes-et-les-femmes-une-approche-du" TargetMode="External"/><Relationship Id="rId1" Type="http://schemas.openxmlformats.org/officeDocument/2006/relationships/hyperlink" Target="https://documents.un.org/doc/undoc/gen/n15/291/90/pdf/n1529190.pdf" TargetMode="External"/><Relationship Id="rId6" Type="http://schemas.openxmlformats.org/officeDocument/2006/relationships/hyperlink" Target="https://s3.amazonaws.com/sustainabledevelopment.report/2024/sustainable-development-report-2024.pdf" TargetMode="External"/><Relationship Id="rId11" Type="http://schemas.openxmlformats.org/officeDocument/2006/relationships/hyperlink" Target="https://dashboards.sdgindex.org/profiles/tunisia" TargetMode="External"/><Relationship Id="rId5" Type="http://schemas.openxmlformats.org/officeDocument/2006/relationships/hyperlink" Target="https://dashboards.sdgindex.org/profiles/tunisia" TargetMode="External"/><Relationship Id="rId15" Type="http://schemas.openxmlformats.org/officeDocument/2006/relationships/hyperlink" Target="https://www.ilo.org/publications/programme-par-pays-pour-la-promotion-du-travail-decent-2017-2022-de-la" TargetMode="External"/><Relationship Id="rId10" Type="http://schemas.openxmlformats.org/officeDocument/2006/relationships/hyperlink" Target="https://tunisia.un.org/fr/sdgs" TargetMode="External"/><Relationship Id="rId19" Type="http://schemas.openxmlformats.org/officeDocument/2006/relationships/hyperlink" Target="https://www.ilo.org/fr/media/341871/download" TargetMode="External"/><Relationship Id="rId4" Type="http://schemas.openxmlformats.org/officeDocument/2006/relationships/hyperlink" Target="http://www.gbo.tn/sites/default/files/2021-09/brochure-ODD-TN%20%281%29.pdf" TargetMode="External"/><Relationship Id="rId9" Type="http://schemas.openxmlformats.org/officeDocument/2006/relationships/hyperlink" Target="https://www.unicef.org/tunisia/media/6441/file/Re%CC%81sume%CC%81-exe%CC%81cutif-analyse-sectorielle.pdf" TargetMode="External"/><Relationship Id="rId14" Type="http://schemas.openxmlformats.org/officeDocument/2006/relationships/hyperlink" Target="https://tunisia.un.org/sites/default/files/2021-09/VNR_Report_Tunisia%20202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28780-A0E9-4DEF-960A-81C2ECC4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43854</TotalTime>
  <Pages>21</Pages>
  <Words>6817</Words>
  <Characters>37499</Characters>
  <Application>Microsoft Office Word</Application>
  <DocSecurity>0</DocSecurity>
  <Lines>312</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dell</cp:lastModifiedBy>
  <cp:revision>188</cp:revision>
  <dcterms:created xsi:type="dcterms:W3CDTF">2024-07-04T07:47:00Z</dcterms:created>
  <dcterms:modified xsi:type="dcterms:W3CDTF">2024-11-23T15:05:00Z</dcterms:modified>
</cp:coreProperties>
</file>